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II — Kartellrechtliche Anmeldung (BKartA und CMA UK)</w:t>
      </w:r>
    </w:p>
    <w:p>
      <w:pPr>
        <w:jc w:val="left"/>
      </w:pPr>
      <w:r>
        <w:t>Aktenzeichen: FST-2026-0918 / Memo II</w:t>
      </w:r>
    </w:p>
    <w:p>
      <w:pPr>
        <w:jc w:val="left"/>
      </w:pPr>
      <w:r>
        <w:t>BKartA-Az.: B 8-72/26</w:t>
      </w:r>
    </w:p>
    <w:p>
      <w:pPr>
        <w:jc w:val="left"/>
      </w:pPr>
      <w:r>
        <w:t>CMA-Az.: ME/7104/26</w:t>
      </w:r>
    </w:p>
    <w:p>
      <w:pPr>
        <w:jc w:val="left"/>
      </w:pPr>
      <w:r>
        <w:t>Datum: 26. April 2026</w:t>
      </w:r>
    </w:p>
    <w:p>
      <w:pPr>
        <w:jc w:val="left"/>
      </w:pPr>
      <w:r>
        <w:t>Verfasser: RA Dr. Mark Roosendaal</w:t>
      </w:r>
    </w:p>
    <w:p>
      <w:pPr>
        <w:pStyle w:val="Heading2"/>
      </w:pPr>
      <w:r>
        <w:rPr>
          <w:rFonts w:ascii="Times New Roman" w:hAnsi="Times New Roman"/>
        </w:rPr>
        <w:t>A. Sachverhalt (Kurzfassung)</w:t>
      </w:r>
    </w:p>
    <w:p>
      <w:pPr>
        <w:jc w:val="left"/>
      </w:pPr>
      <w:r>
        <w:t>Der geplante Asset-Deal überschreitet die Aufgreifschwellen der deutschen Fusionskontrolle nach GWB §§ 35 ff. sowie der britischen Enterprise Act 2002-Schwellen. Aufgrund des Brexit bestehen keine gemeinsamen EU-Verfahren mehr; beide Behörden haben parallele Zuständigkeit.</w:t>
      </w:r>
    </w:p>
    <w:p>
      <w:pPr>
        <w:pStyle w:val="Heading2"/>
      </w:pPr>
      <w:r>
        <w:rPr>
          <w:rFonts w:ascii="Times New Roman" w:hAnsi="Times New Roman"/>
        </w:rPr>
        <w:t>B. Deutsche Fusionskontrolle (BKartA)</w:t>
      </w:r>
    </w:p>
    <w:p>
      <w:pPr>
        <w:pStyle w:val="Heading3"/>
      </w:pPr>
      <w:r>
        <w:rPr>
          <w:rFonts w:ascii="Times New Roman" w:hAnsi="Times New Roman"/>
        </w:rPr>
        <w:t>I. Aufgreifschwellen (§ 35 GWB)</w:t>
      </w:r>
    </w:p>
    <w:p>
      <w:pPr>
        <w:pStyle w:val="ListBullet"/>
      </w:pPr>
      <w:r>
        <w:t>Weltweiter Gesamtumsatz aller Beteiligten: Volkenrath Energie SE ca. EUR 6.800.000.000 + Pipeline Northsea Ltd. ca. EUR 920.000.000 = weit über EUR 500.000.000 (Schwelle 1)</w:t>
      </w:r>
    </w:p>
    <w:p>
      <w:pPr>
        <w:pStyle w:val="ListBullet"/>
      </w:pPr>
      <w:r>
        <w:t>Inlandsumsatz Volkenrath Energie SE: ca. EUR 3.100.000.000 (über EUR 25.000.000, Schwelle 2)</w:t>
      </w:r>
    </w:p>
    <w:p>
      <w:pPr>
        <w:pStyle w:val="ListBullet"/>
      </w:pPr>
      <w:r>
        <w:t>Inlandsumsatz Pipeline Northsea Ltd.: ca. EUR 410.000.000 (über EUR 5.000.000, Schwelle 3)</w:t>
      </w:r>
    </w:p>
    <w:p>
      <w:pPr>
        <w:jc w:val="left"/>
      </w:pPr>
      <w:r>
        <w:rPr>
          <w:b/>
        </w:rPr>
        <w:t>Ergebnis:</w:t>
      </w:r>
      <w:r>
        <w:t xml:space="preserve"> Alle drei Schwellen sind erfüllt; Anmeldepflicht besteht.</w:t>
      </w:r>
    </w:p>
    <w:p>
      <w:pPr>
        <w:pStyle w:val="Heading3"/>
      </w:pPr>
      <w:r>
        <w:rPr>
          <w:rFonts w:ascii="Times New Roman" w:hAnsi="Times New Roman"/>
        </w:rPr>
        <w:t>II. Vollzugsverbot</w:t>
      </w:r>
    </w:p>
    <w:p>
      <w:pPr>
        <w:jc w:val="left"/>
      </w:pPr>
      <w:r>
        <w:t>Nach § 41 GWB ist der Vollzug des Zusammenschlusses vor Freigabe durch das BKartA verboten (Gun Jumping). Zuwiderhandlungen können mit einer Geldbuße von bis zu 10% des weltweiten Konzernumsatzes geahndet werden (§ 81 GWB). Das Closing ist daher von der BKartA-Freigabe abhängig.</w:t>
      </w:r>
    </w:p>
    <w:p>
      <w:pPr>
        <w:pStyle w:val="Heading3"/>
      </w:pPr>
      <w:r>
        <w:rPr>
          <w:rFonts w:ascii="Times New Roman" w:hAnsi="Times New Roman"/>
        </w:rPr>
        <w:t>III. Verfahrensdauer</w:t>
      </w:r>
    </w:p>
    <w:p>
      <w:pPr>
        <w:jc w:val="left"/>
      </w:pPr>
      <w:r>
        <w:t>Das reguläre Hauptprüfverfahren (Phase 2) dauert vier Monate ab vollständiger Anmeldung. Aufgrund der marktbeherrschenden Stellung im Ammoniaktransport Nordsee-DE ist eine Phase-2-Einleitung nicht auszuschließen.</w:t>
      </w:r>
    </w:p>
    <w:p>
      <w:pPr>
        <w:pStyle w:val="Heading3"/>
      </w:pPr>
      <w:r>
        <w:rPr>
          <w:rFonts w:ascii="Times New Roman" w:hAnsi="Times New Roman"/>
        </w:rPr>
        <w:t>IV. Materiell-rechtliche Würdigung</w:t>
      </w:r>
    </w:p>
    <w:p>
      <w:pPr>
        <w:jc w:val="left"/>
      </w:pPr>
      <w:r>
        <w:t>Der relevante Markt dürfte als „Markt für Ammoniaktransport und -speicherung in der deutschen Nordseeregion" definiert werden. Pipeline Northsea Ltd. hält auf diesem Markt einen Anteil von schätzungsweise 70%. Nach dem Zusammenschluss würde Volkenrath Energie SE eine marktbeherrschende Stellung einnehmen. Das BKartA wird voraussichtlich Nebenbestimmungen (Zugangsgewährung für Dritte nach § 36 Abs. 3 GWB) fordern.</w:t>
      </w:r>
    </w:p>
    <w:p>
      <w:pPr>
        <w:pStyle w:val="Heading2"/>
      </w:pPr>
      <w:r>
        <w:rPr>
          <w:rFonts w:ascii="Times New Roman" w:hAnsi="Times New Roman"/>
        </w:rPr>
        <w:t>C. Britische Fusionskontrolle (CMA)</w:t>
      </w:r>
    </w:p>
    <w:p>
      <w:pPr>
        <w:pStyle w:val="Heading3"/>
      </w:pPr>
      <w:r>
        <w:rPr>
          <w:rFonts w:ascii="Times New Roman" w:hAnsi="Times New Roman"/>
        </w:rPr>
        <w:t>I. Aufgreifschwellen (Enterprise Act 2002)</w:t>
      </w:r>
    </w:p>
    <w:p>
      <w:pPr>
        <w:jc w:val="left"/>
      </w:pPr>
      <w:r>
        <w:t>Die CMA prüft einen Zusammenschluss, wenn entweder die Target-Umsatzschwelle (GBP 70.000.000 UK-Umsatz) oder die Share-of-Supply-Schwelle (25% Marktanteil im UK) erreicht ist. Pipeline Northsea Ltd. erzielt im UK Umsätze von ca. GBP 380.000.000 (über der Schwelle). Zusätzlich National Security and Investment Act 2021 (NSI Act) prüfungsrelevant (vgl. Memo III).</w:t>
      </w:r>
    </w:p>
    <w:p>
      <w:pPr>
        <w:pStyle w:val="Heading3"/>
      </w:pPr>
      <w:r>
        <w:rPr>
          <w:rFonts w:ascii="Times New Roman" w:hAnsi="Times New Roman"/>
        </w:rPr>
        <w:t>II. Phase-1-Prüfung</w:t>
      </w:r>
    </w:p>
    <w:p>
      <w:pPr>
        <w:jc w:val="left"/>
      </w:pPr>
      <w:r>
        <w:t>CMA Phase 1 dauert 40 Arbeitstage. Az.: ME/7104/26. Pre-Notification Gespräch wurde für den 5. Mai 2026 vereinbart.</w:t>
      </w:r>
    </w:p>
    <w:p>
      <w:pPr>
        <w:pStyle w:val="Heading3"/>
      </w:pPr>
      <w:r>
        <w:rPr>
          <w:rFonts w:ascii="Times New Roman" w:hAnsi="Times New Roman"/>
        </w:rPr>
        <w:t>III. Post-Brexit-Koordination</w:t>
      </w:r>
    </w:p>
    <w:p>
      <w:pPr>
        <w:jc w:val="left"/>
      </w:pPr>
      <w:r>
        <w:t>Seit dem Brexit gibt es keine Pflicht mehr zur One-Stop-Shop-Anmeldung bei der EU-Kommission. BKartA und CMA verfahren unabhängig. Koordination mit Counsels in UK (Bearboe &amp; Harrington LLP, London) ist sichergestellt.</w:t>
      </w:r>
    </w:p>
    <w:p>
      <w:pPr>
        <w:pStyle w:val="Heading2"/>
      </w:pPr>
      <w:r>
        <w:rPr>
          <w:rFonts w:ascii="Times New Roman" w:hAnsi="Times New Roman"/>
        </w:rPr>
        <w:t>D. Handlungsempfehlung</w:t>
      </w:r>
    </w:p>
    <w:p>
      <w:pPr>
        <w:pStyle w:val="ListNumber"/>
      </w:pPr>
      <w:r>
        <w:t>Unverzügliche Einreichung der Voranmeldung beim BKartA (Pre-Notification noch in KW 17/2026).</w:t>
      </w:r>
    </w:p>
    <w:p>
      <w:pPr>
        <w:pStyle w:val="ListNumber"/>
      </w:pPr>
      <w:r>
        <w:t>Pre-Notification Meeting CMA am 5. Mai 2026.</w:t>
      </w:r>
    </w:p>
    <w:p>
      <w:pPr>
        <w:pStyle w:val="ListNumber"/>
      </w:pPr>
      <w:r>
        <w:t>Vorbereitung des Anmeldeformulars CO (CMA) und der Anmeldeunterlagen BKartA bis 20. Mai 2026.</w:t>
      </w:r>
    </w:p>
    <w:p>
      <w:pPr>
        <w:pStyle w:val="ListNumber"/>
      </w:pPr>
      <w:r>
        <w:t>Vorbereitung eines Remedies-Konzepts (Zugangsgewährungsmodell für die Pipeline) als Fallback-Option.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