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Memo III — Außenwirtschaftsrechtliche Investitionsprüfung (BMWK)</w:t>
      </w:r>
    </w:p>
    <w:p>
      <w:pPr>
        <w:jc w:val="left"/>
      </w:pPr>
      <w:r>
        <w:t>Aktenzeichen: FST-2026-0918 / Memo III</w:t>
      </w:r>
    </w:p>
    <w:p>
      <w:pPr>
        <w:jc w:val="left"/>
      </w:pPr>
      <w:r>
        <w:t>BMWK-Az.: I C 3-2026/Nordsee/072</w:t>
      </w:r>
    </w:p>
    <w:p>
      <w:pPr>
        <w:jc w:val="left"/>
      </w:pPr>
      <w:r>
        <w:t>Datum: 28. April 2026</w:t>
      </w:r>
    </w:p>
    <w:p>
      <w:pPr>
        <w:jc w:val="left"/>
      </w:pPr>
      <w:r>
        <w:t>Verfasserin: RA Dr. Theresa Federkamp-Wittfeldt</w:t>
      </w:r>
    </w:p>
    <w:p>
      <w:pPr>
        <w:pStyle w:val="Heading2"/>
      </w:pPr>
      <w:r>
        <w:rPr>
          <w:rFonts w:ascii="Times New Roman" w:hAnsi="Times New Roman"/>
        </w:rPr>
        <w:t>A. Sachverhalt</w:t>
      </w:r>
    </w:p>
    <w:p>
      <w:pPr>
        <w:jc w:val="left"/>
      </w:pPr>
      <w:r>
        <w:t>Volkenrath Energie SE ist eine in Deutschland börsennotierte Aktiengesellschaft mit gemischter Aktionärsstruktur. Nach aktueller Analyse hält kein einzelner Aktionär mehr als 25% der Stimmrechte. Gleichwohl ist für die AWG-Prüfung die Frage entscheidend, ob der Erwerber als „Unionsfremder" im Sinne von § 55 AWG anzusehen ist.</w:t>
      </w:r>
    </w:p>
    <w:p>
      <w:pPr>
        <w:jc w:val="left"/>
      </w:pPr>
      <w:r>
        <w:t>Hinweis: In diesem Memo geht es ausnahmsweise um den Erwerb eines britischen Unternehmens durch einen deutschen Erwerber. Die AWG/AWV-Prüfung ist gleichwohl eröffnet, weil Pipeline Northsea Ltd. in Deutschland kritische Energieinfrastruktur (Ammoniak-Pipeline) betreibt.</w:t>
      </w:r>
    </w:p>
    <w:p>
      <w:pPr>
        <w:pStyle w:val="Heading2"/>
      </w:pPr>
      <w:r>
        <w:rPr>
          <w:rFonts w:ascii="Times New Roman" w:hAnsi="Times New Roman"/>
        </w:rPr>
        <w:t>B. Eröffnung der AWG-Prüfung</w:t>
      </w:r>
    </w:p>
    <w:p>
      <w:pPr>
        <w:jc w:val="left"/>
      </w:pPr>
      <w:r>
        <w:t>Nach §§ 55 ff. AWG i.V.m. § 55a AWV prüft das BMWK den Erwerb von Unternehmen, die in Deutschland kritische Infrastruktur betreiben. Die Ammoniak-Pipeline Northsea-West ist nach der BSI-KRITIS-Verordnung als kritische Infrastruktur im Sektor „Energie" eingestuft (Betreiber nach § 2 Abs. 10 BSIG). Auch wenn der Erwerber (Volkenrath Energie SE) ein deutsches Unternehmen ist: Die Übertragung der Infrastruktur von einem ausländischen Betreiber auf ein deutsches Unternehmen unterliegt der Anzeigepflicht nach § 55 Abs. 4 AWG (neue Betreiberstruktur).</w:t>
      </w:r>
    </w:p>
    <w:p>
      <w:pPr>
        <w:pStyle w:val="Heading2"/>
      </w:pPr>
      <w:r>
        <w:rPr>
          <w:rFonts w:ascii="Times New Roman" w:hAnsi="Times New Roman"/>
        </w:rPr>
        <w:t>C. Prüfungsmaßstab</w:t>
      </w:r>
    </w:p>
    <w:p>
      <w:pPr>
        <w:jc w:val="left"/>
      </w:pPr>
      <w:r>
        <w:t>Das BMWK prüft, ob der Erwerb eine Gefährdung der öffentlichen Ordnung oder Sicherheit der Bundesrepublik Deutschland bewirkt (§ 55 Abs. 1 AWG). Maßgeblich sind:</w:t>
      </w:r>
    </w:p>
    <w:p>
      <w:pPr>
        <w:pStyle w:val="ListBullet"/>
      </w:pPr>
      <w:r>
        <w:t>Kritikalität der übertragenen Infrastruktur</w:t>
      </w:r>
    </w:p>
    <w:p>
      <w:pPr>
        <w:pStyle w:val="ListBullet"/>
      </w:pPr>
      <w:r>
        <w:t>Zuverlässigkeit und Eigentümerstruktur des Erwerbers</w:t>
      </w:r>
    </w:p>
    <w:p>
      <w:pPr>
        <w:pStyle w:val="ListBullet"/>
      </w:pPr>
      <w:r>
        <w:t>Risiken durch mögliche Einflussnahme ausländischer Staaten auf den Erwerber</w:t>
      </w:r>
    </w:p>
    <w:p>
      <w:pPr>
        <w:pStyle w:val="ListBullet"/>
      </w:pPr>
      <w:r>
        <w:t>IT-Sicherheitsaspekte der Pipeline-Steuerung (SCADA-Systeme)</w:t>
      </w:r>
    </w:p>
    <w:p>
      <w:pPr>
        <w:pStyle w:val="Heading2"/>
      </w:pPr>
      <w:r>
        <w:rPr>
          <w:rFonts w:ascii="Times New Roman" w:hAnsi="Times New Roman"/>
        </w:rPr>
        <w:t>D. Verfahren</w:t>
      </w:r>
    </w:p>
    <w:p>
      <w:pPr>
        <w:jc w:val="left"/>
      </w:pPr>
      <w:r>
        <w:t>Das BMWK hat mit Schreiben vom 20. April 2026 (Az. I C 3-2026/Nordsee/072) bestätigt, dass eine Prüfung nach § 55 AWG eingeleitet wird. Die Prüffrist beträgt zunächst zwei Monate ab Vollständigkeit der Unterlagen, verlängerbar um vier weitere Monate bei komplexen Sachverhalten. Vollständigkeitsbestätigung steht noch aus.</w:t>
      </w:r>
    </w:p>
    <w:p>
      <w:pPr>
        <w:pStyle w:val="Heading2"/>
      </w:pPr>
      <w:r>
        <w:rPr>
          <w:rFonts w:ascii="Times New Roman" w:hAnsi="Times New Roman"/>
        </w:rPr>
        <w:t>E. Risikobewertung</w:t>
      </w:r>
    </w:p>
    <w:p>
      <w:pPr>
        <w:jc w:val="left"/>
      </w:pPr>
      <w:r>
        <w:t xml:space="preserve">Das Prüfungsrisiko wird als </w:t>
      </w:r>
      <w:r>
        <w:rPr>
          <w:b/>
        </w:rPr>
        <w:t>sehr hoch</w:t>
      </w:r>
      <w:r>
        <w:t xml:space="preserve"> eingestuft, nicht weil ein Verbot wahrscheinlich ist, sondern weil:</w:t>
      </w:r>
    </w:p>
    <w:p>
      <w:pPr>
        <w:pStyle w:val="ListNumber"/>
      </w:pPr>
      <w:r>
        <w:t>Die SCADA-Systeme der Pipeline von einem britischen IT-Dienstleister (Hargrave Systems Ltd.) betrieben werden, der seinerseits Anteile eines US-Staatsfonds hält.</w:t>
      </w:r>
    </w:p>
    <w:p>
      <w:pPr>
        <w:pStyle w:val="ListNumber"/>
      </w:pPr>
      <w:r>
        <w:t>Das BMWK seit 2023 eine deutlich restriktivere Praxis bei Energieinfrastruktur verfolgt.</w:t>
      </w:r>
    </w:p>
    <w:p>
      <w:pPr>
        <w:pStyle w:val="ListNumber"/>
      </w:pPr>
      <w:r>
        <w:t>Die Prüfungsdauer (bis zu sechs Monate) den Closing-Zeitplan gefährdet.</w:t>
      </w:r>
    </w:p>
    <w:p>
      <w:pPr>
        <w:pStyle w:val="Heading2"/>
      </w:pPr>
      <w:r>
        <w:rPr>
          <w:rFonts w:ascii="Times New Roman" w:hAnsi="Times New Roman"/>
        </w:rPr>
        <w:t>F. Handlungsempfehlung</w:t>
      </w:r>
    </w:p>
    <w:p>
      <w:pPr>
        <w:pStyle w:val="ListNumber"/>
      </w:pPr>
      <w:r>
        <w:t>Unverzügliche Einreichung der Anzeige nach § 55 AWG beim BMWK.</w:t>
      </w:r>
    </w:p>
    <w:p>
      <w:pPr>
        <w:pStyle w:val="ListNumber"/>
      </w:pPr>
      <w:r>
        <w:t>Vorabgespräch mit BMWK-Referat I C 3 — Termin für 12. Mai 2026 angefragt.</w:t>
      </w:r>
    </w:p>
    <w:p>
      <w:pPr>
        <w:pStyle w:val="ListNumber"/>
      </w:pPr>
      <w:r>
        <w:t>Austausch des SCADA-Dienstleisters als Sicherheitszusage bereits vor Closing vorbereiten.</w:t>
      </w:r>
    </w:p>
    <w:p>
      <w:pPr>
        <w:pStyle w:val="ListNumber"/>
      </w:pPr>
      <w:r>
        <w:t>Closing-Bedingung: AWG-Freigabe (oder Unbedenklichkeitsbescheinigung) als aufschiebende Bedingung in den SPA aufnehmen.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