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Memo IV — Arbeitsrechtliche Folgen des Betriebsübergangs (§ 613a BGB)</w:t>
      </w:r>
    </w:p>
    <w:p>
      <w:pPr>
        <w:jc w:val="left"/>
      </w:pPr>
      <w:r>
        <w:t>Aktenzeichen: FST-2026-0918 / Memo IV</w:t>
      </w:r>
    </w:p>
    <w:p>
      <w:pPr>
        <w:jc w:val="left"/>
      </w:pPr>
      <w:r>
        <w:t>Datum: 29. April 2026</w:t>
      </w:r>
    </w:p>
    <w:p>
      <w:pPr>
        <w:jc w:val="left"/>
      </w:pPr>
      <w:r>
        <w:t>Verfasserin: RA Dr. Theresa Federkamp-Wittfeldt</w:t>
      </w:r>
    </w:p>
    <w:p>
      <w:pPr>
        <w:pStyle w:val="Heading2"/>
      </w:pPr>
      <w:r>
        <w:rPr>
          <w:rFonts w:ascii="Times New Roman" w:hAnsi="Times New Roman"/>
        </w:rPr>
        <w:t>A. Ausgangssituation</w:t>
      </w:r>
    </w:p>
    <w:p>
      <w:pPr>
        <w:jc w:val="left"/>
      </w:pPr>
      <w:r>
        <w:t>Beim geplanten Asset-Deal gehen ca. 342 Arbeitnehmer (Vollzeitäquivalente) von Pipeline Northsea Ltd. auf die erwerbende Volkenrath-Gesellschaft über. Ein Teil der Mitarbeiter ist nach deutschem Recht beschäftigt (Dienststelle Helgoland-Vorgelagert, ca. 210 Personen), ein anderer Teil nach britischem Recht (UK-Basis, ca. 132 Personen).</w:t>
      </w:r>
    </w:p>
    <w:p>
      <w:pPr>
        <w:pStyle w:val="Heading2"/>
      </w:pPr>
      <w:r>
        <w:rPr>
          <w:rFonts w:ascii="Times New Roman" w:hAnsi="Times New Roman"/>
        </w:rPr>
        <w:t>B. § 613a BGB — Tatbestandsvoraussetzungen</w:t>
      </w:r>
    </w:p>
    <w:p>
      <w:pPr>
        <w:jc w:val="left"/>
      </w:pPr>
      <w:r>
        <w:t>Ein Betriebsübergang nach § 613a BGB liegt vor, wenn:</w:t>
      </w:r>
    </w:p>
    <w:p>
      <w:pPr>
        <w:pStyle w:val="ListNumber"/>
      </w:pPr>
      <w:r>
        <w:t>Ein Betrieb oder Betriebsteil übergeht</w:t>
      </w:r>
    </w:p>
    <w:p>
      <w:pPr>
        <w:pStyle w:val="ListNumber"/>
      </w:pPr>
      <w:r>
        <w:t>durch Rechtsgeschäft</w:t>
      </w:r>
    </w:p>
    <w:p>
      <w:pPr>
        <w:pStyle w:val="ListNumber"/>
      </w:pPr>
      <w:r>
        <w:t>auf einen anderen Inhaber</w:t>
      </w:r>
    </w:p>
    <w:p>
      <w:pPr>
        <w:jc w:val="left"/>
      </w:pPr>
      <w:r>
        <w:t xml:space="preserve">Bei einem Asset-Deal werden die wesentlichen Betriebsmittel (Anlagen, Know-how, Kundenverträge) übertragen; die Identität des Betriebs bleibt gewahrt. </w:t>
      </w:r>
      <w:r>
        <w:rPr>
          <w:b/>
        </w:rPr>
        <w:t>§ 613a BGB ist anwendbar</w:t>
      </w:r>
      <w:r>
        <w:t xml:space="preserve"> auf die 210 in Deutschland beschäftigten Mitarbeiter.</w:t>
      </w:r>
    </w:p>
    <w:p>
      <w:pPr>
        <w:pStyle w:val="Heading2"/>
      </w:pPr>
      <w:r>
        <w:rPr>
          <w:rFonts w:ascii="Times New Roman" w:hAnsi="Times New Roman"/>
        </w:rPr>
        <w:t>C. Rechtsfolgen</w:t>
      </w:r>
    </w:p>
    <w:p>
      <w:pPr>
        <w:pStyle w:val="Heading3"/>
      </w:pPr>
      <w:r>
        <w:rPr>
          <w:rFonts w:ascii="Times New Roman" w:hAnsi="Times New Roman"/>
        </w:rPr>
        <w:t>I. Automatischer Übergang der Arbeitsverhältnisse</w:t>
      </w:r>
    </w:p>
    <w:p>
      <w:pPr>
        <w:jc w:val="left"/>
      </w:pPr>
      <w:r>
        <w:t>Alle Arbeitsverhältnisse der deutschen Mitarbeiter gehen kraft Gesetzes auf den Erwerber über (§ 613a Abs. 1 Satz 1 BGB). Eine Kündigung wegen des Betriebsübergangs ist nach § 613a Abs. 4 BGB unwirksam.</w:t>
      </w:r>
    </w:p>
    <w:p>
      <w:pPr>
        <w:pStyle w:val="Heading3"/>
      </w:pPr>
      <w:r>
        <w:rPr>
          <w:rFonts w:ascii="Times New Roman" w:hAnsi="Times New Roman"/>
        </w:rPr>
        <w:t>II. Widerspruchsrecht</w:t>
      </w:r>
    </w:p>
    <w:p>
      <w:pPr>
        <w:jc w:val="left"/>
      </w:pPr>
      <w:r>
        <w:t>Jeder Arbeitnehmer kann dem Übergang seines Arbeitsverhältnisses innerhalb eines Monats nach ordnungsgemäßer Unterrichtung widersprechen (§ 613a Abs. 6 BGB). Bei Widerspruch verbleibt das Arbeitsverhältnis beim Veräußerer (Caledonian / Pipeline Northsea Ltd.), der dann betriebsbedingt kündigen müsste.</w:t>
      </w:r>
    </w:p>
    <w:p>
      <w:pPr>
        <w:pStyle w:val="Heading3"/>
      </w:pPr>
      <w:r>
        <w:rPr>
          <w:rFonts w:ascii="Times New Roman" w:hAnsi="Times New Roman"/>
        </w:rPr>
        <w:t>III. Unterrichtungspflicht</w:t>
      </w:r>
    </w:p>
    <w:p>
      <w:pPr>
        <w:jc w:val="left"/>
      </w:pPr>
      <w:r>
        <w:t>Vor dem Übergang sind Veräußerer und Erwerber verpflichtet, die betroffenen Arbeitnehmer schriftlich über folgende Punkte zu unterrichten (§ 613a Abs. 5 BGB):</w:t>
      </w:r>
    </w:p>
    <w:p>
      <w:pPr>
        <w:pStyle w:val="ListBullet"/>
      </w:pPr>
      <w:r>
        <w:t>Zeitpunkt des Übergangs</w:t>
      </w:r>
    </w:p>
    <w:p>
      <w:pPr>
        <w:pStyle w:val="ListBullet"/>
      </w:pPr>
      <w:r>
        <w:t>Grund des Übergangs</w:t>
      </w:r>
    </w:p>
    <w:p>
      <w:pPr>
        <w:pStyle w:val="ListBullet"/>
      </w:pPr>
      <w:r>
        <w:t>Rechtliche, wirtschaftliche und soziale Folgen</w:t>
      </w:r>
    </w:p>
    <w:p>
      <w:pPr>
        <w:pStyle w:val="ListBullet"/>
      </w:pPr>
      <w:r>
        <w:t>Vorgesehene Maßnahmen</w:t>
      </w:r>
    </w:p>
    <w:p>
      <w:pPr>
        <w:jc w:val="left"/>
      </w:pPr>
      <w:r>
        <w:rPr>
          <w:b/>
        </w:rPr>
        <w:t>Risiko:</w:t>
      </w:r>
      <w:r>
        <w:t xml:space="preserve"> Eine fehlerhafte Unterrichtung verlängert die Widerspruchsfrist unbegrenzt. FST empfiehlt professionell erstellte Unterrichtungsschreiben.</w:t>
      </w:r>
    </w:p>
    <w:p>
      <w:pPr>
        <w:pStyle w:val="Heading3"/>
      </w:pPr>
      <w:r>
        <w:rPr>
          <w:rFonts w:ascii="Times New Roman" w:hAnsi="Times New Roman"/>
        </w:rPr>
        <w:t>IV. Kollektivrechtliche Aspekte</w:t>
      </w:r>
    </w:p>
    <w:p>
      <w:pPr>
        <w:jc w:val="left"/>
      </w:pPr>
      <w:r>
        <w:t>Der Betriebsrat der Dienststelle Helgoland-Vorgelagert hat mit Schreiben vom 8. April 2026 eine Standortgarantie für fünf Jahre gefordert. Ein Interessenausgleich und Sozialplan nach §§ 111–113 BetrVG sind zu verhandeln, da es sich um eine Betriebsänderung (§ 111 Satz 3 Nr. 1 BetrVG) handelt.</w:t>
      </w:r>
    </w:p>
    <w:p>
      <w:pPr>
        <w:pStyle w:val="Heading3"/>
      </w:pPr>
      <w:r>
        <w:rPr>
          <w:rFonts w:ascii="Times New Roman" w:hAnsi="Times New Roman"/>
        </w:rPr>
        <w:t>V. Britische Arbeitnehmer (ca. 132 Personen)</w:t>
      </w:r>
    </w:p>
    <w:p>
      <w:pPr>
        <w:jc w:val="left"/>
      </w:pPr>
      <w:r>
        <w:t>Das UK-Äquivalent (TUPE — Transfer of Undertakings (Protection of Employment) Regulations 2006) gilt für die britischen Mitarbeiter. Post-Brexit gelten die TUPE Regulations 2006 unverändert. Koordination mit Bearboe &amp; Harrington LLP erforderlich.</w:t>
      </w:r>
    </w:p>
    <w:p>
      <w:pPr>
        <w:pStyle w:val="Heading2"/>
      </w:pPr>
      <w:r>
        <w:rPr>
          <w:rFonts w:ascii="Times New Roman" w:hAnsi="Times New Roman"/>
        </w:rPr>
        <w:t>D. Risikoeinschätzung</w:t>
      </w:r>
    </w:p>
    <w:p>
      <w:pPr>
        <w:jc w:val="left"/>
      </w:pPr>
      <w:r>
        <w:t>Das Widerspruchsrisiko wird als moderat eingeschätzt. Erfahrungsgemäß widersprechen bei attraktiven Erwerbern weniger als 5% der Belegschaft. Kritischer ist die Verhandlung des Interessenausgleichs mit dem Betriebsrat.</w:t>
      </w:r>
    </w:p>
    <w:p>
      <w:pPr>
        <w:pStyle w:val="Heading2"/>
      </w:pPr>
      <w:r>
        <w:rPr>
          <w:rFonts w:ascii="Times New Roman" w:hAnsi="Times New Roman"/>
        </w:rPr>
        <w:t>E. Handlungsempfehlung</w:t>
      </w:r>
    </w:p>
    <w:p>
      <w:pPr>
        <w:pStyle w:val="ListNumber"/>
      </w:pPr>
      <w:r>
        <w:t>Unterrichtungsschreiben § 613a Abs. 5 BGB vorbereiten (Versand spätestens vier Wochen vor Closing).</w:t>
      </w:r>
    </w:p>
    <w:p>
      <w:pPr>
        <w:pStyle w:val="ListNumber"/>
      </w:pPr>
      <w:r>
        <w:t>Aufnahme von Betriebsratsverhandlungen nicht später als 30. Mai 2026.</w:t>
      </w:r>
    </w:p>
    <w:p>
      <w:pPr>
        <w:pStyle w:val="ListNumber"/>
      </w:pPr>
      <w:r>
        <w:t>Standortgarantie als freiwillige Betriebsvereinbarung anbieten (Laufzeit drei Jahre statt fünf — Verhandlungsposition).</w:t>
      </w:r>
    </w:p>
    <w:p>
      <w:pPr>
        <w:pStyle w:val="ListNumber"/>
      </w:pPr>
      <w:r>
        <w:t>TUPE-Koordination mit UK-Counsel sicherstellen.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