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Memo V — Umweltrechtliche Altlastenprüfung Werksgelände Helgoland-Vorgelagert</w:t>
      </w:r>
    </w:p>
    <w:p>
      <w:pPr>
        <w:jc w:val="left"/>
      </w:pPr>
      <w:r>
        <w:t>Aktenzeichen: FST-2026-0918 / Memo V</w:t>
      </w:r>
    </w:p>
    <w:p>
      <w:pPr>
        <w:jc w:val="left"/>
      </w:pPr>
      <w:r>
        <w:t>Datum: 30. April 2026</w:t>
      </w:r>
    </w:p>
    <w:p>
      <w:pPr>
        <w:jc w:val="left"/>
      </w:pPr>
      <w:r>
        <w:t>Verfasserin: RA Dr. Theresa Federkamp-Wittfeldt / RA Dr. Mark Roosendaal</w:t>
      </w:r>
    </w:p>
    <w:p>
      <w:pPr>
        <w:pStyle w:val="Heading2"/>
      </w:pPr>
      <w:r>
        <w:rPr>
          <w:rFonts w:ascii="Times New Roman" w:hAnsi="Times New Roman"/>
        </w:rPr>
        <w:t>A. Sachverhalt</w:t>
      </w:r>
    </w:p>
    <w:p>
      <w:pPr>
        <w:jc w:val="left"/>
      </w:pPr>
      <w:r>
        <w:t>Der Vendor Due Diligence Report (Stand: 10. April 2026) weist auf einen Altlastenverdacht auf dem Produktionsgelände Helgoland-Vorgelagert hin. Hintergrund ist ein dokumentiertes Ammoniak-Leck aus dem Jahr 1987 (Jahresbericht Werkssicherheit 1987, S. 34–37), das zu einer Bodenkontamination geführt hat. Bisherige Sanierungsmaßnahmen sind im VDD als „unvollständig abgeschlossen" beschrieben.</w:t>
      </w:r>
    </w:p>
    <w:p>
      <w:pPr>
        <w:pStyle w:val="Heading2"/>
      </w:pPr>
      <w:r>
        <w:rPr>
          <w:rFonts w:ascii="Times New Roman" w:hAnsi="Times New Roman"/>
        </w:rPr>
        <w:t>B. Rechtlicher Rahmen</w:t>
      </w:r>
    </w:p>
    <w:p>
      <w:pPr>
        <w:pStyle w:val="Heading3"/>
      </w:pPr>
      <w:r>
        <w:rPr>
          <w:rFonts w:ascii="Times New Roman" w:hAnsi="Times New Roman"/>
        </w:rPr>
        <w:t>I. Bundes-Bodenschutzgesetz (BBodSchG)</w:t>
      </w:r>
    </w:p>
    <w:p>
      <w:pPr>
        <w:jc w:val="left"/>
      </w:pPr>
      <w:r>
        <w:t>Nach § 4 Abs. 3 BBodSchG sind Verursacher, Eigentümer und Inhaber eines Grundstücks zur Sanierung verpflichtet, wenn schädliche Bodenveränderungen oder Altlasten vorhanden sind. Bei einem Asset-Deal übernimmt der Erwerber die Stellung als Inhaber und damit potentiell die Sanierungspflicht — unabhängig von vertraglich vereinbarten Freistellungen.</w:t>
      </w:r>
    </w:p>
    <w:p>
      <w:pPr>
        <w:pStyle w:val="Heading3"/>
      </w:pPr>
      <w:r>
        <w:rPr>
          <w:rFonts w:ascii="Times New Roman" w:hAnsi="Times New Roman"/>
        </w:rPr>
        <w:t>II. Haftungsübergang</w:t>
      </w:r>
    </w:p>
    <w:p>
      <w:pPr>
        <w:jc w:val="left"/>
      </w:pPr>
      <w:r>
        <w:t>Entscheidend ist die Frage, ob die Sanierungspflicht auf den Erwerber übergeht. Nach § 4 Abs. 6 BBodSchG kann eine Freistellungsvereinbarung zwischen Veräußerer und Erwerber behördlich nur dann berücksichtigt werden, wenn die zuständige Behörde (Niedersächsisches Landesamt für Bergbau, Energie und Geologie) zugestimmt hat.</w:t>
      </w:r>
    </w:p>
    <w:p>
      <w:pPr>
        <w:jc w:val="left"/>
      </w:pPr>
      <w:r>
        <w:rPr>
          <w:b/>
        </w:rPr>
        <w:t>Risiko:</w:t>
      </w:r>
      <w:r>
        <w:t xml:space="preserve"> Ohne behördliche Zustimmung zur Freistellung haftet der Erwerber (Volkenrath) als Inhaber des Grundstücks neben dem Veräußerer.</w:t>
      </w:r>
    </w:p>
    <w:p>
      <w:pPr>
        <w:pStyle w:val="Heading3"/>
      </w:pPr>
      <w:r>
        <w:rPr>
          <w:rFonts w:ascii="Times New Roman" w:hAnsi="Times New Roman"/>
        </w:rPr>
        <w:t>III. Geschätzte Sanierungskosten</w:t>
      </w:r>
    </w:p>
    <w:p>
      <w:pPr>
        <w:jc w:val="left"/>
      </w:pPr>
      <w:r>
        <w:t>Die Bandbreite im VDD (EUR 45.000.000 – 120.000.000) ist aus FST-Sicht zu optimistisch. Nach Rücksprache mit dem von FST mandatierten Umweltgutachter Dr. Klaus Bremerhöfer (Hannover) ist eine Bandbreite von EUR 80.000.000 – 180.000.000 realistischer. Die Varianz ergibt sich aus dem Umfang der Grundwasserkontamination (noch nicht vollständig untersucht).</w:t>
      </w:r>
    </w:p>
    <w:p>
      <w:pPr>
        <w:pStyle w:val="Heading2"/>
      </w:pPr>
      <w:r>
        <w:rPr>
          <w:rFonts w:ascii="Times New Roman" w:hAnsi="Times New Roman"/>
        </w:rPr>
        <w:t>C. Handlungsoptionen</w:t>
      </w:r>
    </w:p>
    <w:p>
      <w:pPr>
        <w:pStyle w:val="Heading3"/>
      </w:pPr>
      <w:r>
        <w:rPr>
          <w:rFonts w:ascii="Times New Roman" w:hAnsi="Times New Roman"/>
        </w:rPr>
        <w:t>Option 1: Kaufpreisabschlag</w:t>
      </w:r>
    </w:p>
    <w:p>
      <w:pPr>
        <w:jc w:val="left"/>
      </w:pPr>
      <w:r>
        <w:t>Abzug des Mittelwerts der Sanierungskosten (EUR 130.000.000) vom Kaufpreis als Pauschalabschlag. Einfach, aber bei Sanierungskosten am oberen Ende unzureichend.</w:t>
      </w:r>
    </w:p>
    <w:p>
      <w:pPr>
        <w:pStyle w:val="Heading3"/>
      </w:pPr>
      <w:r>
        <w:rPr>
          <w:rFonts w:ascii="Times New Roman" w:hAnsi="Times New Roman"/>
        </w:rPr>
        <w:t>Option 2: Escrow-Konto</w:t>
      </w:r>
    </w:p>
    <w:p>
      <w:pPr>
        <w:jc w:val="left"/>
      </w:pPr>
      <w:r>
        <w:t>Einbehalt von EUR 180.000.000 auf einem Treuhandkonto; Auszahlung nach behördlicher Sanierungsfreigabe. Bevorzugte Option von FST.</w:t>
      </w:r>
    </w:p>
    <w:p>
      <w:pPr>
        <w:pStyle w:val="Heading3"/>
      </w:pPr>
      <w:r>
        <w:rPr>
          <w:rFonts w:ascii="Times New Roman" w:hAnsi="Times New Roman"/>
        </w:rPr>
        <w:t>Option 3: Freistellung und Verkäufergarantie</w:t>
      </w:r>
    </w:p>
    <w:p>
      <w:pPr>
        <w:jc w:val="left"/>
      </w:pPr>
      <w:r>
        <w:t>Caledonian gibt unbegrenzte Freistellungserklärung für alle Altlastenkosten; W&amp;I-Versicherung deckt Ausfall ab. Risiko: Caledonian kann bei Insolvenz nicht leisten.</w:t>
      </w:r>
    </w:p>
    <w:p>
      <w:pPr>
        <w:pStyle w:val="Heading3"/>
      </w:pPr>
      <w:r>
        <w:rPr>
          <w:rFonts w:ascii="Times New Roman" w:hAnsi="Times New Roman"/>
        </w:rPr>
        <w:t>Option 4: Dealaufgabe</w:t>
      </w:r>
    </w:p>
    <w:p>
      <w:pPr>
        <w:jc w:val="left"/>
      </w:pPr>
      <w:r>
        <w:t>Sofern Sanierungskosten nicht hinreichend abgesichert werden können, ist eine Dealaufgabe zu empfehlen.</w:t>
      </w:r>
    </w:p>
    <w:p>
      <w:pPr>
        <w:pStyle w:val="Heading2"/>
      </w:pPr>
      <w:r>
        <w:rPr>
          <w:rFonts w:ascii="Times New Roman" w:hAnsi="Times New Roman"/>
        </w:rPr>
        <w:t>D. Handlungsempfehlung</w:t>
      </w:r>
    </w:p>
    <w:p>
      <w:pPr>
        <w:pStyle w:val="ListNumber"/>
      </w:pPr>
      <w:r>
        <w:t>Beauftragung eines eigenen Phase-II-Umwelt-Audits (Bremerhöfer Umweltgutachten GmbH) bis 20. Mai 2026.</w:t>
      </w:r>
    </w:p>
    <w:p>
      <w:pPr>
        <w:pStyle w:val="ListNumber"/>
      </w:pPr>
      <w:r>
        <w:t>Verhandlung einer Escrow-Lösung (EUR 180.000.000) als Closing-Bedingung.</w:t>
      </w:r>
    </w:p>
    <w:p>
      <w:pPr>
        <w:pStyle w:val="ListNumber"/>
      </w:pPr>
      <w:r>
        <w:t>Behördliche Freistellungszusage beim LBEG Niedersachsen beantragen.</w:t>
      </w:r>
    </w:p>
    <w:p>
      <w:pPr>
        <w:pStyle w:val="ListNumber"/>
      </w:pPr>
      <w:r>
        <w:t>W&amp;I-Versicherung um Altlasten-Coverage erweitern (Willis Towers Watson Indikativofferte anpassen).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