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Memo VI — Immobilienrechtliche Übertragung (UK-Liegenschaften und deutsche AWZ)</w:t>
      </w:r>
    </w:p>
    <w:p>
      <w:pPr>
        <w:jc w:val="left"/>
      </w:pPr>
      <w:r>
        <w:t>Aktenzeichen: FST-2026-0918 / Memo VI</w:t>
      </w:r>
    </w:p>
    <w:p>
      <w:pPr>
        <w:jc w:val="left"/>
      </w:pPr>
      <w:r>
        <w:t>Datum: 2. Mai 2026</w:t>
      </w:r>
    </w:p>
    <w:p>
      <w:pPr>
        <w:jc w:val="left"/>
      </w:pPr>
      <w:r>
        <w:t>Verfasser: RA Dr. Mark Roosendaal / Bearboe &amp; Harrington LLP (UK-Counsel)</w:t>
      </w:r>
    </w:p>
    <w:p>
      <w:pPr>
        <w:pStyle w:val="Heading2"/>
      </w:pPr>
      <w:r>
        <w:rPr>
          <w:rFonts w:ascii="Times New Roman" w:hAnsi="Times New Roman"/>
        </w:rPr>
        <w:t>A. Gegenstand</w:t>
      </w:r>
    </w:p>
    <w:p>
      <w:pPr>
        <w:jc w:val="left"/>
      </w:pPr>
      <w:r>
        <w:t>Das Produktionsgelände Helgoland-Vorgelagert liegt teilweise im deutschen Küstenmeer (Niedersächsisches Recht) und teilweise auf einer künstlichen Insel, die der deutschen ausschließlichen Wirtschaftszone (AWZ) zugeordnet ist. Die Pipeline-Infrastruktur erstreckt sich durch die AWZ bis an die britische Küste. Zusätzlich existiert ein onshore-Wartungsstützpunkt in Grimsby (UK), der britischem Liegenschaftsrecht unterliegt.</w:t>
      </w:r>
    </w:p>
    <w:p>
      <w:pPr>
        <w:pStyle w:val="Heading2"/>
      </w:pPr>
      <w:r>
        <w:rPr>
          <w:rFonts w:ascii="Times New Roman" w:hAnsi="Times New Roman"/>
        </w:rPr>
        <w:t>B. Deutsche Liegenschaften</w:t>
      </w:r>
    </w:p>
    <w:p>
      <w:pPr>
        <w:pStyle w:val="Heading3"/>
      </w:pPr>
      <w:r>
        <w:rPr>
          <w:rFonts w:ascii="Times New Roman" w:hAnsi="Times New Roman"/>
        </w:rPr>
        <w:t>I. Grundstücksübertragung nach BGB / GBO</w:t>
      </w:r>
    </w:p>
    <w:p>
      <w:pPr>
        <w:jc w:val="left"/>
      </w:pPr>
      <w:r>
        <w:t>Die inländischen Grundstücke werden durch Auflassung und Eintragung ins Grundbuch übertragen (§§ 873, 925 BGB). Notarielle Beurkundung erforderlich (§ 311b BGB). Grundbucheinsicht wurde beantragt; Ergebnis steht aus (erwartet bis 10. Mai 2026).</w:t>
      </w:r>
    </w:p>
    <w:p>
      <w:pPr>
        <w:pStyle w:val="Heading3"/>
      </w:pPr>
      <w:r>
        <w:rPr>
          <w:rFonts w:ascii="Times New Roman" w:hAnsi="Times New Roman"/>
        </w:rPr>
        <w:t>II. AWZ-Infrastruktur</w:t>
      </w:r>
    </w:p>
    <w:p>
      <w:pPr>
        <w:jc w:val="left"/>
      </w:pPr>
      <w:r>
        <w:t>Für Anlagen in der AWZ gilt das SeeAnlV-Regime. Eine Genehmigung nach § 3 SeeAnlV (Bundesamt für Seeschifffahrt und Hydrographie, BSH) ist für den Betreiberwechsel erforderlich. Verfahrensdauer: ca. drei Monate.</w:t>
      </w:r>
    </w:p>
    <w:p>
      <w:pPr>
        <w:pStyle w:val="Heading2"/>
      </w:pPr>
      <w:r>
        <w:rPr>
          <w:rFonts w:ascii="Times New Roman" w:hAnsi="Times New Roman"/>
        </w:rPr>
        <w:t>C. Britische Liegenschaften</w:t>
      </w:r>
    </w:p>
    <w:p>
      <w:pPr>
        <w:pStyle w:val="Heading3"/>
      </w:pPr>
      <w:r>
        <w:rPr>
          <w:rFonts w:ascii="Times New Roman" w:hAnsi="Times New Roman"/>
        </w:rPr>
        <w:t>I. Liegenschaft Grimsby</w:t>
      </w:r>
    </w:p>
    <w:p>
      <w:pPr>
        <w:jc w:val="left"/>
      </w:pPr>
      <w:r>
        <w:t>Für die Übertragung der Liegenschaft in Grimsby gilt englisches Liegenschaftsrecht (Land Registration Act 2002). Übertragung durch Deed of Transfer und Eintragung ins UK Land Register (HM Land Registry). Stamp Duty Land Tax (SDLT) fällt an: Steuersatz 5% auf den auf die Liegenschaft entfallenden Kaufpreisanteil.</w:t>
      </w:r>
    </w:p>
    <w:p>
      <w:pPr>
        <w:jc w:val="left"/>
      </w:pPr>
      <w:r>
        <w:t>UK-Counsel Bearboe &amp; Harrington LLP führt das SDLT-Verfahren.</w:t>
      </w:r>
    </w:p>
    <w:p>
      <w:pPr>
        <w:pStyle w:val="Heading3"/>
      </w:pPr>
      <w:r>
        <w:rPr>
          <w:rFonts w:ascii="Times New Roman" w:hAnsi="Times New Roman"/>
        </w:rPr>
        <w:t>II. Pipeline-Streckenabschnitte in britischen Hoheitsgewässern</w:t>
      </w:r>
    </w:p>
    <w:p>
      <w:pPr>
        <w:jc w:val="left"/>
      </w:pPr>
      <w:r>
        <w:t>Die Pipeline verläuft durch britische AWZ und das britische Küstenmeer. Für den Betreiberwechsel ist eine Genehmigung der North Sea Transition Authority (NSTA) erforderlich. UK-Counsel hat Voranfrage gestellt.</w:t>
      </w:r>
    </w:p>
    <w:p>
      <w:pPr>
        <w:pStyle w:val="Heading2"/>
      </w:pPr>
      <w:r>
        <w:rPr>
          <w:rFonts w:ascii="Times New Roman" w:hAnsi="Times New Roman"/>
        </w:rPr>
        <w:t>D. Koordinierungsrisiken</w:t>
      </w:r>
    </w:p>
    <w:p>
      <w:pPr>
        <w:jc w:val="left"/>
      </w:pPr>
      <w:r>
        <w:t>Die parallele Grundstücksübertragung in zwei Jurisdiktionen erhöht das Closing-Risiko erheblich. Eine jurisdiktionsübergreifende Simultaneous Exchange-Struktur (Simultaneous Closing) wird vorbereitet, bei der alle Übertragungsakte gleichzeitig vollzogen werden.</w:t>
      </w:r>
    </w:p>
    <w:p>
      <w:pPr>
        <w:pStyle w:val="Heading2"/>
      </w:pPr>
      <w:r>
        <w:rPr>
          <w:rFonts w:ascii="Times New Roman" w:hAnsi="Times New Roman"/>
        </w:rPr>
        <w:t>E. Handlungsempfehlung</w:t>
      </w:r>
    </w:p>
    <w:p>
      <w:pPr>
        <w:pStyle w:val="ListNumber"/>
      </w:pPr>
      <w:r>
        <w:t>Notartermin für deutsche Grundstücksübertragungen bis 10. Juni 2026 vorplanen.</w:t>
      </w:r>
    </w:p>
    <w:p>
      <w:pPr>
        <w:pStyle w:val="ListNumber"/>
      </w:pPr>
      <w:r>
        <w:t>Antrag bei BSH (SeeAnlV) unverzüglich stellen.</w:t>
      </w:r>
    </w:p>
    <w:p>
      <w:pPr>
        <w:pStyle w:val="ListNumber"/>
      </w:pPr>
      <w:r>
        <w:t>Bearboe &amp; Harrington sichert NSTA-Genehmigung und SDLT-Abwicklung.</w:t>
      </w:r>
    </w:p>
    <w:p>
      <w:pPr>
        <w:pStyle w:val="ListNumber"/>
      </w:pPr>
      <w:r>
        <w:t>Closing-Zeitplan um AWZ-Genehmigungen (Puffer: zwei Monate) anpassen.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