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Memo VIII — Datenschutzrechtliche Zulässigkeit der Mitarbeiterdatenübermittlung UK nach DE</w:t>
      </w:r>
    </w:p>
    <w:p>
      <w:pPr>
        <w:jc w:val="left"/>
      </w:pPr>
      <w:r>
        <w:t>Aktenzeichen: FST-2026-0918 / Memo VIII</w:t>
      </w:r>
    </w:p>
    <w:p>
      <w:pPr>
        <w:jc w:val="left"/>
      </w:pPr>
      <w:r>
        <w:t>Datum: 7. Mai 2026</w:t>
      </w:r>
    </w:p>
    <w:p>
      <w:pPr>
        <w:jc w:val="left"/>
      </w:pPr>
      <w:r>
        <w:t>Verfasserin: RA Dr. Theresa Federkamp-Wittfeldt</w:t>
      </w:r>
    </w:p>
    <w:p>
      <w:pPr>
        <w:pStyle w:val="Heading2"/>
      </w:pPr>
      <w:r>
        <w:rPr>
          <w:rFonts w:ascii="Times New Roman" w:hAnsi="Times New Roman"/>
        </w:rPr>
        <w:t>A. Sachverhalt</w:t>
      </w:r>
    </w:p>
    <w:p>
      <w:pPr>
        <w:jc w:val="left"/>
      </w:pPr>
      <w:r>
        <w:t>Im Zuge des Asset-Deals werden Personalakten und HR-Systemdaten von ca. 342 Mitarbeitern von Pipeline Northsea Ltd. (UK) an die Erwerberin (Deutschland) übermittelt. Diese Übertragung umfasst:</w:t>
      </w:r>
    </w:p>
    <w:p>
      <w:pPr>
        <w:pStyle w:val="ListBullet"/>
      </w:pPr>
      <w:r>
        <w:t>Personalstammdaten (Name, Adresse, Geburtsdatum)</w:t>
      </w:r>
    </w:p>
    <w:p>
      <w:pPr>
        <w:pStyle w:val="ListBullet"/>
      </w:pPr>
      <w:r>
        <w:t>Vergütungsdaten (Gehaltszettel, Bonus-Abrechnungen)</w:t>
      </w:r>
    </w:p>
    <w:p>
      <w:pPr>
        <w:pStyle w:val="ListBullet"/>
      </w:pPr>
      <w:r>
        <w:t>Gesundheitsdaten (soweit arbeitsrechtlich relevant, z.B. Behinderungen)</w:t>
      </w:r>
    </w:p>
    <w:p>
      <w:pPr>
        <w:pStyle w:val="ListBullet"/>
      </w:pPr>
      <w:r>
        <w:t>Leistungs- und Disziplinardaten</w:t>
      </w:r>
    </w:p>
    <w:p>
      <w:pPr>
        <w:pStyle w:val="ListBullet"/>
      </w:pPr>
      <w:r>
        <w:t>Rentenanwartschaften und Versicherungsdaten</w:t>
      </w:r>
    </w:p>
    <w:p>
      <w:pPr>
        <w:pStyle w:val="Heading2"/>
      </w:pPr>
      <w:r>
        <w:rPr>
          <w:rFonts w:ascii="Times New Roman" w:hAnsi="Times New Roman"/>
        </w:rPr>
        <w:t>B. Rechtlicher Rahmen</w:t>
      </w:r>
    </w:p>
    <w:p>
      <w:pPr>
        <w:pStyle w:val="Heading3"/>
      </w:pPr>
      <w:r>
        <w:rPr>
          <w:rFonts w:ascii="Times New Roman" w:hAnsi="Times New Roman"/>
        </w:rPr>
        <w:t>I. Anwendbarkeit der DSGVO</w:t>
      </w:r>
    </w:p>
    <w:p>
      <w:pPr>
        <w:jc w:val="left"/>
      </w:pPr>
      <w:r>
        <w:t>Nach dem Brexit gilt in Großbritannien die UK GDPR (GDPR in der Form des Data Protection Act 2018). Die Übermittlung von UK nach DE ist daher eine Drittlandübermittlung im Sinne der UK GDPR und gleichzeitig eine Verarbeitung personenbezogener Daten im Sinne der DSGVO durch den deutschen Empfänger.</w:t>
      </w:r>
    </w:p>
    <w:p>
      <w:pPr>
        <w:pStyle w:val="Heading3"/>
      </w:pPr>
      <w:r>
        <w:rPr>
          <w:rFonts w:ascii="Times New Roman" w:hAnsi="Times New Roman"/>
        </w:rPr>
        <w:t>II. Angemessenheitsbeschluss UK</w:t>
      </w:r>
    </w:p>
    <w:p>
      <w:pPr>
        <w:jc w:val="left"/>
      </w:pPr>
      <w:r>
        <w:t>Die EU-Kommission hat am 28. Juni 2021 einen Angemessenheitsbeschluss für das Vereinigte Königreich nach Art. 45 DSGVO erlassen. Dieser Beschluss ist bis zum 27. Juni 2025 befristet; eine Verlängerung wird derzeit von der EU-Kommission geprüft (Stand: Mai 2026, noch keine Entscheidung).</w:t>
      </w:r>
    </w:p>
    <w:p>
      <w:pPr>
        <w:jc w:val="left"/>
      </w:pPr>
      <w:r>
        <w:rPr>
          <w:b/>
        </w:rPr>
        <w:t>Risiko:</w:t>
      </w:r>
      <w:r>
        <w:t xml:space="preserve"> Sollte der Angemessenheitsbeschluss nicht verlängert werden oder auslaufen, sind Standardvertragsklauseln (SCC) nach Art. 46 Abs. 2 lit. c DSGVO als Auffangtatbestand erforderlich.</w:t>
      </w:r>
    </w:p>
    <w:p>
      <w:pPr>
        <w:pStyle w:val="Heading3"/>
      </w:pPr>
      <w:r>
        <w:rPr>
          <w:rFonts w:ascii="Times New Roman" w:hAnsi="Times New Roman"/>
        </w:rPr>
        <w:t>III. Due-Diligence-Datenübermittlung</w:t>
      </w:r>
    </w:p>
    <w:p>
      <w:pPr>
        <w:jc w:val="left"/>
      </w:pPr>
      <w:r>
        <w:t>Bereits vor Closing müssen Personaldaten an Volkenrath übermittelt werden, um die HR-Integration zu planen (Data Room). Hierfür ist ein berechtigtes Interesse (Art. 6 Abs. 1 lit. f DSGVO) oder die Erfüllung eines Vertrags denkbar. FST empfiehlt den Abschluss eines Data Processing Agreement (DPA) zwischen Pipeline Northsea Ltd. und Volkenrath Energie SE vor Datenbankzugriff.</w:t>
      </w:r>
    </w:p>
    <w:p>
      <w:pPr>
        <w:pStyle w:val="Heading3"/>
      </w:pPr>
      <w:r>
        <w:rPr>
          <w:rFonts w:ascii="Times New Roman" w:hAnsi="Times New Roman"/>
        </w:rPr>
        <w:t>IV. Besondere Kategorien personenbezogener Daten</w:t>
      </w:r>
    </w:p>
    <w:p>
      <w:pPr>
        <w:jc w:val="left"/>
      </w:pPr>
      <w:r>
        <w:t>Gesundheitsdaten der Mitarbeiter (Art. 9 DSGVO) dürfen nur auf besonderer Rechtsgrundlage übermittelt werden. Einwilligungen der betroffenen Arbeitnehmer oder Öffnungsklausel nach § 26 BDSG erforderlich.</w:t>
      </w:r>
    </w:p>
    <w:p>
      <w:pPr>
        <w:pStyle w:val="Heading2"/>
      </w:pPr>
      <w:r>
        <w:rPr>
          <w:rFonts w:ascii="Times New Roman" w:hAnsi="Times New Roman"/>
        </w:rPr>
        <w:t>C. Handlungsempfehlung</w:t>
      </w:r>
    </w:p>
    <w:p>
      <w:pPr>
        <w:pStyle w:val="ListNumber"/>
      </w:pPr>
      <w:r>
        <w:t>Data Processing Agreement zwischen Pipeline Northsea Ltd. und Volkenrath SE bis 15. Mai 2026 abschließen.</w:t>
      </w:r>
    </w:p>
    <w:p>
      <w:pPr>
        <w:pStyle w:val="ListNumber"/>
      </w:pPr>
      <w:r>
        <w:t>SCC als Vorsorgemaßnahme bereits jetzt einbeziehen (für den Fall des Auslaufens des Angemessenheitsbeschlusses).</w:t>
      </w:r>
    </w:p>
    <w:p>
      <w:pPr>
        <w:pStyle w:val="ListNumber"/>
      </w:pPr>
      <w:r>
        <w:t>Datenschutz-Folgenabschätzung (DSFA) nach Art. 35 DSGVO für Gesundheitsdaten durchführen.</w:t>
      </w:r>
    </w:p>
    <w:p>
      <w:pPr>
        <w:pStyle w:val="ListNumber"/>
      </w:pPr>
      <w:r>
        <w:t>Information der betroffenen Mitarbeiter nach Art. 14 DSGVO vorbereiten.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