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Memo IX — Energierechtliche Betriebsfortführung (BNetzA; §§ 11, 12 EnWG)</w:t>
      </w:r>
    </w:p>
    <w:p>
      <w:pPr>
        <w:jc w:val="left"/>
      </w:pPr>
      <w:r>
        <w:t>Aktenzeichen: FST-2026-0918 / Memo IX</w:t>
      </w:r>
    </w:p>
    <w:p>
      <w:pPr>
        <w:jc w:val="left"/>
      </w:pPr>
      <w:r>
        <w:t>Datum: 9. Mai 2026</w:t>
      </w:r>
    </w:p>
    <w:p>
      <w:pPr>
        <w:jc w:val="left"/>
      </w:pPr>
      <w:r>
        <w:t>Verfasserin: RA Dr. Theresa Federkamp-Wittfeldt</w:t>
      </w:r>
    </w:p>
    <w:p>
      <w:pPr>
        <w:pStyle w:val="Heading2"/>
      </w:pPr>
      <w:r>
        <w:rPr>
          <w:rFonts w:ascii="Times New Roman" w:hAnsi="Times New Roman"/>
        </w:rPr>
        <w:t>A. Sachverhalt</w:t>
      </w:r>
    </w:p>
    <w:p>
      <w:pPr>
        <w:jc w:val="left"/>
      </w:pPr>
      <w:r>
        <w:t>Die Ammoniak-Pipeline Northsea-West unterliegt als Leitungsinfrastruktur dem EnWG-Regime. Nach §§ 11, 12 EnWG sind Betreiber von Energieversorgungsnetzen verpflichtet, ein sicheres, zuverlässiges und leistungsfähiges Energieversorgungsnetz zu betreiben. Der Betreiberwechsel durch den Asset-Deal unterliegt der Anzeige- und Genehmigungspflicht der Bundesnetzagentur (BNetzA).</w:t>
      </w:r>
    </w:p>
    <w:p>
      <w:pPr>
        <w:pStyle w:val="Heading2"/>
      </w:pPr>
      <w:r>
        <w:rPr>
          <w:rFonts w:ascii="Times New Roman" w:hAnsi="Times New Roman"/>
        </w:rPr>
        <w:t>B. Klassifizierung der Pipeline</w:t>
      </w:r>
    </w:p>
    <w:p>
      <w:pPr>
        <w:jc w:val="left"/>
      </w:pPr>
      <w:r>
        <w:t>Ammoniak-Pipelines sind nach aktueller BNetzA-Praxis dem Regelungsrahmen des EnWG nicht automatisch unterworfen — das EnWG erfasst primär Gas- und Stromnetze. Allerdings ordnet das Wasserstoffbeschleunigungsgesetz (2023) und die EU-Energieinfrastruktur-VO (2022/869) Ammoniak als Wasserstoffträger ein, was die regulatorische Einordnung verändert.</w:t>
      </w:r>
    </w:p>
    <w:p>
      <w:pPr>
        <w:jc w:val="left"/>
      </w:pPr>
      <w:r>
        <w:rPr>
          <w:b/>
        </w:rPr>
        <w:t>Streitfrage:</w:t>
      </w:r>
      <w:r>
        <w:t xml:space="preserve"> Gilt die Anzeigepflicht nach § 12 EnWG analog für Ammoniak-Pipelines? FST und der von Volkenrath beauftragte Regulierungsrechtler Prof. Dr. Hartmut Benkelberg (TU Berlin) sind unterschiedlicher Auffassung:</w:t>
      </w:r>
    </w:p>
    <w:p>
      <w:pPr>
        <w:pStyle w:val="ListBullet"/>
      </w:pPr>
      <w:r>
        <w:t>FST: Analoge Anwendung von § 12 EnWG geboten (regulatorische Lücke); Vorabanfrage bei BNetzA erforderlich.</w:t>
      </w:r>
    </w:p>
    <w:p>
      <w:pPr>
        <w:pStyle w:val="ListBullet"/>
      </w:pPr>
      <w:r>
        <w:t>Prof. Benkelberg: Keine unmittelbare EnWG-Anwendung; SeeAnlV und UVPG ausreichend.</w:t>
      </w:r>
    </w:p>
    <w:p>
      <w:pPr>
        <w:pStyle w:val="Heading2"/>
      </w:pPr>
      <w:r>
        <w:rPr>
          <w:rFonts w:ascii="Times New Roman" w:hAnsi="Times New Roman"/>
        </w:rPr>
        <w:t>C. BNetzA-Voranfrage</w:t>
      </w:r>
    </w:p>
    <w:p>
      <w:pPr>
        <w:jc w:val="left"/>
      </w:pPr>
      <w:r>
        <w:t>FST hat am 6. Mai 2026 eine informelle Voranfrage an die BNetzA (Beschlusskammer 8) gesandt. Eine Antwort ist für Ende Mai 2026 zu erwarten. Ohne Klärung dieser Frage ist das Closing-Risiko erhöht.</w:t>
      </w:r>
    </w:p>
    <w:p>
      <w:pPr>
        <w:pStyle w:val="Heading2"/>
      </w:pPr>
      <w:r>
        <w:rPr>
          <w:rFonts w:ascii="Times New Roman" w:hAnsi="Times New Roman"/>
        </w:rPr>
        <w:t>D. KRITIS-Regulierung</w:t>
      </w:r>
    </w:p>
    <w:p>
      <w:pPr>
        <w:jc w:val="left"/>
      </w:pPr>
      <w:r>
        <w:t>Unabhängig von der EnWG-Frage ist die Pipeline als KRITIS-Infrastruktur eingestuft. Der neue Betreiber (Volkenrath SE) muss sich beim BSI registrieren und einen Sicherheitsplan nach § 8a BSIG vorweisen. Frist: sechs Monate nach Betriebsübernahme.</w:t>
      </w:r>
    </w:p>
    <w:p>
      <w:pPr>
        <w:pStyle w:val="Heading2"/>
      </w:pPr>
      <w:r>
        <w:rPr>
          <w:rFonts w:ascii="Times New Roman" w:hAnsi="Times New Roman"/>
        </w:rPr>
        <w:t>E. Handlungsempfehlung</w:t>
      </w:r>
    </w:p>
    <w:p>
      <w:pPr>
        <w:pStyle w:val="ListNumber"/>
      </w:pPr>
      <w:r>
        <w:t>Antwort BNetzA-Voranfrage abwarten (Mai 2026); dann Entscheidung über formales Genehmigungsverfahren.</w:t>
      </w:r>
    </w:p>
    <w:p>
      <w:pPr>
        <w:pStyle w:val="ListNumber"/>
      </w:pPr>
      <w:r>
        <w:t>BSI-Registrierung als KRITIS-Betreiber vorbereiten.</w:t>
      </w:r>
    </w:p>
    <w:p>
      <w:pPr>
        <w:pStyle w:val="ListNumber"/>
      </w:pPr>
      <w:r>
        <w:t>Übergangsbetrieb: Caledonian führt den Betrieb technisch bis zur BNetzA-Freigabe weiter (Betriebsführungsvertrag als Closing-Bedingung).</w:t>
      </w:r>
    </w:p>
    <w:p>
      <w:pPr>
        <w:pStyle w:val="ListNumber"/>
      </w:pPr>
      <w:r>
        <w:t>Abstimmung SeeAnlV-Verfahren mit BSH (bereits in Memo VI adressiert).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