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Zusammenfassende Handlungsempfehlung — Asset-Deal Pipeline Northsea</w:t>
      </w:r>
    </w:p>
    <w:p>
      <w:pPr>
        <w:jc w:val="left"/>
      </w:pPr>
      <w:r>
        <w:t>Aktenzeichen: FST-2026-0918</w:t>
      </w:r>
    </w:p>
    <w:p>
      <w:pPr>
        <w:jc w:val="left"/>
      </w:pPr>
      <w:r>
        <w:t>Datum: 14. Mai 2026</w:t>
      </w:r>
    </w:p>
    <w:p>
      <w:pPr>
        <w:jc w:val="left"/>
      </w:pPr>
      <w:r>
        <w:t>Verfasserin: RA Dr. Theresa Federkamp-Wittfeldt</w:t>
      </w:r>
    </w:p>
    <w:p>
      <w:pPr>
        <w:pStyle w:val="Heading2"/>
      </w:pPr>
      <w:r>
        <w:rPr>
          <w:rFonts w:ascii="Times New Roman" w:hAnsi="Times New Roman"/>
        </w:rPr>
        <w:t>Gesamtbewertung</w:t>
      </w:r>
    </w:p>
    <w:p>
      <w:pPr>
        <w:jc w:val="left"/>
      </w:pPr>
      <w:r>
        <w:t>Der geplante Asset-Deal ist aus rechtlicher Sicht grundsätzlich durchführbar. Die identifizierten Risiken sind beherrschbar, wenn die nachfolgenden Handlungsempfehlungen konsequent und fristgerecht umgesetzt werden. Zwei Sachverhalte erfordern besondere Aufmerksamkeit:</w:t>
      </w:r>
    </w:p>
    <w:p>
      <w:pPr>
        <w:pStyle w:val="ListNumber"/>
      </w:pPr>
      <w:r>
        <w:rPr>
          <w:b/>
        </w:rPr>
        <w:t>Altlasten Helgoland-Vorgelagert</w:t>
      </w:r>
      <w:r>
        <w:t xml:space="preserve"> — Bis zur Vorlage des Phase-II-Umweltaudits besteht erhebliche Wertungewissheit. FST empfiehlt, das Signing erst nach Vorlage des Audits (geplant: 20. Mai 2026) zu vollziehen.</w:t>
      </w:r>
    </w:p>
    <w:p>
      <w:pPr>
        <w:pStyle w:val="ListNumber"/>
      </w:pPr>
      <w:r>
        <w:rPr>
          <w:b/>
        </w:rPr>
        <w:t>AWG-Investitionsprüfung</w:t>
      </w:r>
      <w:r>
        <w:t xml:space="preserve"> — Die Prüfungsdauer von bis zu sechs Monaten gefährdet den Closing-Zeitplan. Das Vorabgespräch mit dem BMWK am 12. Mai 2026 ist von zentraler Bedeutung.</w:t>
      </w:r>
    </w:p>
    <w:p>
      <w:pPr>
        <w:pStyle w:val="Heading2"/>
      </w:pPr>
      <w:r>
        <w:rPr>
          <w:rFonts w:ascii="Times New Roman" w:hAnsi="Times New Roman"/>
        </w:rPr>
        <w:t>Konsolidierte Handlungsempfehlungen</w:t>
      </w:r>
    </w:p>
    <w:p>
      <w:pPr>
        <w:pStyle w:val="Heading3"/>
      </w:pPr>
      <w:r>
        <w:rPr>
          <w:rFonts w:ascii="Times New Roman" w:hAnsi="Times New Roman"/>
        </w:rPr>
        <w:t>A. Sofortmaßnahmen (bis 20. Mai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Aufsichtsratssitzung einberufen (Zustimmung Art-Deal)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Vorstand Volkenrath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 Mai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BKartA Pre-Notification einreichen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Roosendaal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 Mai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BMWK-Vorabgespräch AWG (Termin 12. Mai)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Federkamp-Wittfeldt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 Mai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Data Processing Agreement abschließen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Federkamp-Wittfeldt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 Mai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Phase-II-Umweltaudit beauftragen (Bremerhöfer)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CFO Hagenburg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13. Mai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GmbH-Vehikel gründen (Northsea Ammoniak GmbH)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Pohlmann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 Mai 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B. Mittelfristige Maßnahmen (bis 20. Juni 2026 / Signing)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CMA Pre-Notification (Termin 5. Mai, Follow-up)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Roosendaal / Bearboe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 Mai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BSH-Antrag SeeAnlV stellen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Roosendaal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 Mai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Betriebsratsverhandlungen aufnehmen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COO Lattermann / 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 Mai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SPA-Verhandlungen abschließen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FST Gesamt-Team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 Juni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Green-Bond-Framework einreichen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Pohlmann / 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 Juni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Unterrichtungsschreiben § 613a BGB vorbereiten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Federkamp-Wittfeldt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 Juni 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C. Closing-Bedingungen (Conditions Precedent)</w:t>
      </w:r>
    </w:p>
    <w:p>
      <w:pPr>
        <w:jc w:val="left"/>
      </w:pPr>
      <w:r>
        <w:t>Folgende Bedingungen müssen vor dem Closing (geplant: 1. September 2026) erfüllt sein:</w:t>
      </w:r>
    </w:p>
    <w:p>
      <w:pPr>
        <w:pStyle w:val="ListNumber"/>
      </w:pPr>
      <w:r>
        <w:t>BKartA-Freigabe oder Nichtuntersagungsbescheid</w:t>
      </w:r>
    </w:p>
    <w:p>
      <w:pPr>
        <w:pStyle w:val="ListNumber"/>
      </w:pPr>
      <w:r>
        <w:t>CMA-Freigabe (Phase 1 oder Phase 2)</w:t>
      </w:r>
    </w:p>
    <w:p>
      <w:pPr>
        <w:pStyle w:val="ListNumber"/>
      </w:pPr>
      <w:r>
        <w:t>BMWK-Unbedenklichkeitsbescheinigung (AWG)</w:t>
      </w:r>
    </w:p>
    <w:p>
      <w:pPr>
        <w:pStyle w:val="ListNumber"/>
      </w:pPr>
      <w:r>
        <w:t>Aufsichtsratsbeschluss Volkenrath Energie SE</w:t>
      </w:r>
    </w:p>
    <w:p>
      <w:pPr>
        <w:pStyle w:val="ListNumber"/>
      </w:pPr>
      <w:r>
        <w:t>Notarielle Beurkundung der deutschen Grundstücksübertragungen</w:t>
      </w:r>
    </w:p>
    <w:p>
      <w:pPr>
        <w:pStyle w:val="ListNumber"/>
      </w:pPr>
      <w:r>
        <w:t>Abschluss Betriebsführungsvertrag mit Caledonian (Übergangsbetrieb)</w:t>
      </w:r>
    </w:p>
    <w:p>
      <w:pPr>
        <w:pStyle w:val="ListNumber"/>
      </w:pPr>
      <w:r>
        <w:t>Escrow-Einbehalt für Altlasten (EUR 180.000.000)</w:t>
      </w:r>
    </w:p>
    <w:p>
      <w:pPr>
        <w:pStyle w:val="Heading2"/>
      </w:pPr>
      <w:r>
        <w:rPr>
          <w:rFonts w:ascii="Times New Roman" w:hAnsi="Times New Roman"/>
        </w:rPr>
        <w:t>Risikobewertung (Zusammenfassung)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Stufe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Handlung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AWG-Versagung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BMWK-Gespräch, Sicherheitszusagen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Altlasten-Überschreitung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Phase-II-Audit, Escrow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BKartA Phase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Remedies-Konzept vorbereiten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Konkurrenz-Bieter BioNova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Exklusivität sichern, Eskalationsplan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613a Widersprüche &gt; 10%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Kommunikationspaket vorbereiten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MAC-Trigger (Bank)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MAC-Definition verhandeln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