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Risiko-Matrix — Deal-Breaker-Analyse</w:t>
      </w:r>
    </w:p>
    <w:p>
      <w:pPr>
        <w:jc w:val="left"/>
      </w:pPr>
      <w:r>
        <w:t>Aktenzeichen: FST-2026-0918</w:t>
      </w:r>
    </w:p>
    <w:p>
      <w:pPr>
        <w:jc w:val="left"/>
      </w:pPr>
      <w:r>
        <w:t>Datum: 15. Mai 2026</w:t>
      </w:r>
    </w:p>
    <w:p>
      <w:pPr>
        <w:jc w:val="left"/>
      </w:pPr>
      <w:r>
        <w:t>Verfasserin: RA Dr. Theresa Federkamp-Wittfeldt</w:t>
      </w:r>
    </w:p>
    <w:p>
      <w:pPr>
        <w:pStyle w:val="Heading2"/>
      </w:pPr>
      <w:r>
        <w:rPr>
          <w:rFonts w:ascii="Times New Roman" w:hAnsi="Times New Roman"/>
        </w:rPr>
        <w:t>Methodik</w:t>
      </w:r>
    </w:p>
    <w:p>
      <w:pPr>
        <w:jc w:val="left"/>
      </w:pPr>
      <w:r>
        <w:t>Die Risiko-Matrix erfasst alle identifizierten Risiken auf einer 5×5-Skala (Eintrittswahrscheinlichkeit × Schadensausmaß). Deal-Breaker sind Risiken mit einem Produkt ≥ 16 (rot). Hohe Risiken (gelb) liegen bei einem Produkt von 9–15.</w:t>
      </w:r>
    </w:p>
    <w:p>
      <w:pPr>
        <w:pStyle w:val="Heading2"/>
      </w:pPr>
      <w:r>
        <w:rPr>
          <w:rFonts w:ascii="Times New Roman" w:hAnsi="Times New Roman"/>
        </w:rPr>
        <w:t>Risiko-Matrix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Lfd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Eintrittswahrsch. (1–5)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Schaden (1–5)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Score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b/>
                <w:sz w:val="20"/>
              </w:rPr>
              <w:t>Stufe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R-01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AWG-Versagung / Closing-Untersagung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R-02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Altlasten &gt; EUR 200.000.000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R-03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BKartA Phase-2 mit Auflagen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R-04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CMA Phase-2-Einleitung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R-05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Konkurrenz-Bieter BioNova gewinnt Auktion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R-06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Widerspruch &gt; 15% Belegschaft § 613a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R-07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MAC-Trigger bei Banken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R-08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DSGVO-Übermittlung UK ohne Angemessenheitsbeschluss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R-09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SeeAnlV-Genehmigung verzögert Closing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R-10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BNetzA-Genehmigungspflicht nicht geklärt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R-11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Zinsschranke reduziert Cashflow erheblich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R-12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SDLT-Nachforderung UK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R-13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Earn-Out-Streit mit Caledonian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R-14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Green-Bond-Taxonomie-Versagung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Gering</w:t>
            </w:r>
          </w:p>
        </w:tc>
      </w:tr>
      <w:tr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R-15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Verzögerung Phase-II-Umweltaudit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1512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Kritische Pfade / Deal-Breaker</w:t>
      </w:r>
    </w:p>
    <w:p>
      <w:pPr>
        <w:jc w:val="left"/>
      </w:pPr>
      <w:r>
        <w:t xml:space="preserve">Kein Einzelrisiko überschreitet die Deal-Breaker-Schwelle von Score 16. Die </w:t>
      </w:r>
      <w:r>
        <w:rPr>
          <w:b/>
        </w:rPr>
        <w:t>Kombination</w:t>
      </w:r>
      <w:r>
        <w:t xml:space="preserve"> von R-02 (Altlasten) und R-01 (AWG) könnte jedoch kumulativ zum Dealabbruch führen, wenn:</w:t>
      </w:r>
    </w:p>
    <w:p>
      <w:pPr>
        <w:pStyle w:val="ListBullet"/>
      </w:pPr>
      <w:r>
        <w:t xml:space="preserve">Sanierungskosten über EUR 250.000.000 liegen </w:t>
      </w:r>
      <w:r>
        <w:rPr>
          <w:b/>
        </w:rPr>
        <w:t>und</w:t>
      </w:r>
    </w:p>
    <w:p>
      <w:pPr>
        <w:pStyle w:val="ListBullet"/>
      </w:pPr>
      <w:r>
        <w:t>BMWK nur mit inakzeptablen Auflagen genehmigt</w:t>
      </w:r>
    </w:p>
    <w:p>
      <w:pPr>
        <w:jc w:val="left"/>
      </w:pPr>
      <w:r>
        <w:t>In diesem Szenario ist die Dealaufgabe die wirtschaftlich richtige Entscheidung. Der Vorstand ist über dieses Kombinationsrisiko zu informieren.</w:t>
      </w:r>
    </w:p>
    <w:p>
      <w:pPr>
        <w:pStyle w:val="Heading2"/>
      </w:pPr>
      <w:r>
        <w:rPr>
          <w:rFonts w:ascii="Times New Roman" w:hAnsi="Times New Roman"/>
        </w:rPr>
        <w:t>Monitoring</w:t>
      </w:r>
    </w:p>
    <w:p>
      <w:pPr>
        <w:jc w:val="left"/>
      </w:pPr>
      <w:r>
        <w:t>Die Risiko-Matrix wird monatlich aktualisiert. Nächste Überprüfung: 15. Juni 2026 (nach Phase-II-Audit und BMWK-Gespräch).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