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Rechtsgutachten — Quintessenz: Regulatorischer Status der Ammoniak-Pipeline Northsea-West</w:t>
      </w:r>
    </w:p>
    <w:p>
      <w:pPr>
        <w:jc w:val="left"/>
      </w:pPr>
      <w:r>
        <w:t>Aktenzeichen: FST-2026-0918 / Sondergutachten</w:t>
      </w:r>
    </w:p>
    <w:p>
      <w:pPr>
        <w:jc w:val="left"/>
      </w:pPr>
      <w:r>
        <w:t>Datum: 13. Mai 2026</w:t>
      </w:r>
    </w:p>
    <w:p>
      <w:pPr>
        <w:jc w:val="left"/>
      </w:pPr>
      <w:r>
        <w:t>Verfasser: RA Dr. Mark Roosendaal / Prof. Dr. Hartmut Benkelberg (TU Berlin, Sachverständiger)</w:t>
      </w:r>
    </w:p>
    <w:p>
      <w:pPr>
        <w:pStyle w:val="Heading2"/>
      </w:pPr>
      <w:r>
        <w:rPr>
          <w:rFonts w:ascii="Times New Roman" w:hAnsi="Times New Roman"/>
        </w:rPr>
        <w:t>Auftrag</w:t>
      </w:r>
    </w:p>
    <w:p>
      <w:pPr>
        <w:jc w:val="left"/>
      </w:pPr>
      <w:r>
        <w:t>Der Mandant hat FST gebeten, in Zusammenarbeit mit einem externen Energierechtsexperten die regulatorische Einordnung der Ammoniak-Pipeline Northsea-West abschließend zu klären. Das Gutachten soll als Grundlage für das BNetzA-Voranfrageverfahren (vgl. Memo IX) dienen.</w:t>
      </w:r>
    </w:p>
    <w:p>
      <w:pPr>
        <w:pStyle w:val="Heading2"/>
      </w:pPr>
      <w:r>
        <w:rPr>
          <w:rFonts w:ascii="Times New Roman" w:hAnsi="Times New Roman"/>
        </w:rPr>
        <w:t>Feststellungen</w:t>
      </w:r>
    </w:p>
    <w:p>
      <w:pPr>
        <w:pStyle w:val="Heading3"/>
      </w:pPr>
      <w:r>
        <w:rPr>
          <w:rFonts w:ascii="Times New Roman" w:hAnsi="Times New Roman"/>
        </w:rPr>
        <w:t>I. EnWG-Anwendbarkeit</w:t>
      </w:r>
    </w:p>
    <w:p>
      <w:pPr>
        <w:jc w:val="left"/>
      </w:pPr>
      <w:r>
        <w:t>Das EnWG (§ 3 Nr. 19 EnWG) definiert „Energieversorgungsnetze" als Leitungsnetze zur Versorgung mit Elektrizität, Gas, Fernwärme oder Wasserstoff. Ammoniak ist nicht explizit erfasst.</w:t>
      </w:r>
    </w:p>
    <w:p>
      <w:pPr>
        <w:jc w:val="left"/>
      </w:pPr>
      <w:r>
        <w:t>Allerdings ergibt sich aus Art. 2 Nr. 5 der EU-Verordnung 2022/869 (TEN-E-VO), dass Ammoniak-Pipelines als Bestandteil der Wasserstoffinfrastruktur eingestuft werden können, wenn sie primär dem Transport von Ammoniak als Wasserstoffträger dienen. Die Pipeline Northsea-West transportiert Ammoniak zu ca. 60% als Industrie-Input und zu ca. 40% als Wasserstoffträger (für Crackanlagen).</w:t>
      </w:r>
    </w:p>
    <w:p>
      <w:pPr>
        <w:jc w:val="left"/>
      </w:pPr>
      <w:r>
        <w:rPr>
          <w:b/>
        </w:rPr>
        <w:t>Gutachterliches Ergebnis:</w:t>
      </w:r>
      <w:r>
        <w:t xml:space="preserve"> Aufgrund des 40%-Anteils als Wasserstoffträger ist die analoge Anwendung des EnWG vertretbar (Prof. Benkelberg: „nicht zwingend, aber vertretbar"). FST empfiehlt, die BNetzA um Klärung zu bitten und inzwischen vorsorglich nach EnWG zu agieren.</w:t>
      </w:r>
    </w:p>
    <w:p>
      <w:pPr>
        <w:pStyle w:val="Heading3"/>
      </w:pPr>
      <w:r>
        <w:rPr>
          <w:rFonts w:ascii="Times New Roman" w:hAnsi="Times New Roman"/>
        </w:rPr>
        <w:t>II. KRITIS-Einordnung</w:t>
      </w:r>
    </w:p>
    <w:p>
      <w:pPr>
        <w:jc w:val="left"/>
      </w:pPr>
      <w:r>
        <w:t>Die Pipeline ist unbestreitbar KRITIS-Infrastruktur nach § 2 Abs. 10 BSIG i.V.m. KRITIS-VO, Sektor Energie. Dies ist nicht von der EnWG-Frage abhängig.</w:t>
      </w:r>
    </w:p>
    <w:p>
      <w:pPr>
        <w:pStyle w:val="Heading3"/>
      </w:pPr>
      <w:r>
        <w:rPr>
          <w:rFonts w:ascii="Times New Roman" w:hAnsi="Times New Roman"/>
        </w:rPr>
        <w:t>III. Betriebsfortführung im Übergangszeitraum</w:t>
      </w:r>
    </w:p>
    <w:p>
      <w:pPr>
        <w:jc w:val="left"/>
      </w:pPr>
      <w:r>
        <w:t>Zwischen Signing und Closing muss der Betrieb der Pipeline durch den bisherigen Betreiber (Pipeline Northsea Ltd.) fortgeführt werden. Hierfür ist ein Betriebsführungsvertrag (Operations &amp; Maintenance Agreement) zu schließen. Dieser muss:</w:t>
      </w:r>
    </w:p>
    <w:p>
      <w:pPr>
        <w:pStyle w:val="ListNumber"/>
      </w:pPr>
      <w:r>
        <w:t>Die bestehenden Betriebsgenehmigungen in der Person des bisherigen Inhabers lassen</w:t>
      </w:r>
    </w:p>
    <w:p>
      <w:pPr>
        <w:pStyle w:val="ListNumber"/>
      </w:pPr>
      <w:r>
        <w:t>Einen klaren Haftungsrahmen für den Übergangszeitraum definieren</w:t>
      </w:r>
    </w:p>
    <w:p>
      <w:pPr>
        <w:pStyle w:val="ListNumber"/>
      </w:pPr>
      <w:r>
        <w:t>Die Übergabe der SCADA-Systeme und IT-Infrastruktur regeln</w:t>
      </w:r>
    </w:p>
    <w:p>
      <w:pPr>
        <w:pStyle w:val="Heading3"/>
      </w:pPr>
      <w:r>
        <w:rPr>
          <w:rFonts w:ascii="Times New Roman" w:hAnsi="Times New Roman"/>
        </w:rPr>
        <w:t>IV. Fazit und Empfehlung</w:t>
      </w:r>
    </w:p>
    <w:p>
      <w:pPr>
        <w:jc w:val="left"/>
      </w:pPr>
      <w:r>
        <w:t>Die Rechtslage ist in einem Kernpunkt (EnWG-Analogie) ungeklärt. Das Gutachten empfiehlt:</w:t>
      </w:r>
    </w:p>
    <w:p>
      <w:pPr>
        <w:pStyle w:val="ListNumber"/>
      </w:pPr>
      <w:r>
        <w:t>BNetzA-Voranfrage schriftlich bis 20. Mai 2026 stellen (mit Beifügung dieses Gutachtens).</w:t>
      </w:r>
    </w:p>
    <w:p>
      <w:pPr>
        <w:pStyle w:val="ListNumber"/>
      </w:pPr>
      <w:r>
        <w:t>Betriebsführungsvertrag als zwingende Closing-Bedingung vereinbaren.</w:t>
      </w:r>
    </w:p>
    <w:p>
      <w:pPr>
        <w:pStyle w:val="ListNumber"/>
      </w:pPr>
      <w:r>
        <w:t>BSI-Registrierung des neuen Betreibers (Volkenrath SE / Northsea Ammoniak GmbH) unverzüglich nach Closing einleiten.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