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Fragenkatalog für Vendor Q&amp;A — Datenraum Intralinks</w:t>
      </w:r>
    </w:p>
    <w:p>
      <w:pPr>
        <w:jc w:val="left"/>
      </w:pPr>
      <w:r>
        <w:t>Aktenzeichen: FST-2026-0918</w:t>
      </w:r>
    </w:p>
    <w:p>
      <w:pPr>
        <w:jc w:val="left"/>
      </w:pPr>
      <w:r>
        <w:t>Datum: 10. Mai 2026</w:t>
      </w:r>
    </w:p>
    <w:p>
      <w:pPr>
        <w:jc w:val="left"/>
      </w:pPr>
      <w:r>
        <w:t>Verfasser: FST Deal-Team / Tobias Freyer-Schmidt (Volkenrath M&amp;A)</w:t>
      </w:r>
    </w:p>
    <w:p>
      <w:pPr>
        <w:pStyle w:val="Heading2"/>
      </w:pPr>
      <w:r>
        <w:rPr>
          <w:rFonts w:ascii="Times New Roman" w:hAnsi="Times New Roman"/>
        </w:rPr>
        <w:t>Instruktion</w:t>
      </w:r>
    </w:p>
    <w:p>
      <w:pPr>
        <w:jc w:val="left"/>
      </w:pPr>
      <w:r>
        <w:t>Nachfolgende Fragen werden durch den Volkenrath-Deal-Team (Koordination: Tobias Freyer-Schmidt) im Datenraum Intralinks an das Caledonian-Management eingestellt. Antworten werden bis 23. Mai 2026 erbeten.</w:t>
      </w:r>
    </w:p>
    <w:p>
      <w:pPr>
        <w:pStyle w:val="Heading2"/>
      </w:pPr>
      <w:r>
        <w:rPr>
          <w:rFonts w:ascii="Times New Roman" w:hAnsi="Times New Roman"/>
        </w:rPr>
        <w:t>Abschnitt A — Umwelt / Altlasten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Datenraum-Referenz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Welche Sanierungsmaßnahmen wurden seit dem Ammoniak-Leck 1987 konkret durchgeführt? Bitte vollständige Dokumentation inkl. Behördenbescheide beifügen.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4.2.1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A-02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Liegt ein aktuelles (2024 oder 2025) Bodengutachten vor? Wenn nein, weshalb nicht?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4.2.3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A-03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Hat die zuständige Behörde (LBEG Niedersachsen oder Umweltbehörde UK) eine Sanierungsanordnung erlassen?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4.2.5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A-04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Welche Haftungsfreistellungen hat Caledonian von früheren Eigentümern erhalten?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4.2.7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Abschnitt B — Mitarbeiter / § 613a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Datenraum-Referenz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 Mitarbeiterliste (Name, Funktion, Arbeitsort, Eintrittsdatum, Vergütung) für alle dem Asset-Deal zuzuordnenden Mitarbeiter — Datenschutz-anonymisiert sofern rechtlich geboten.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5.1.1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B-02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Bestehen über tarifvertragliche Regelungen hinausgehende Standortzusagen oder einzelvertragliche Beschäftigungsgarantien?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5.1.3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B-03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Welche Tarifverträge gelten für die deutschen Mitarbeiter? Nachwirkungs- / Nachbindungseffekte?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5.1.5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Abschnitt C — Betriebsgenehmigungen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Datenraum-Referenz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Sind alle Betriebsgenehmigungen auf Caledonian / Pipeline Northsea Ltd. lautend oder gibt es personengebundene Genehmigungen, die nicht übertragbar sind?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3.1.1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C-02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Bestehen offene Auflagenverfahren oder Widerruf-Androhungen seitens Behörden?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3.1.4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Abschnitt D — Laufende Verträge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Datenraum-Referenz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Welche Kundenverträge enthalten Change-of-Control-Klauseln? Bitte einzelne Verträge identifizieren.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6.2.1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D-02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Bestehen Lieferantenverträge mit Mindestabnahmeverpflichtungen?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6.2.3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D-03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Sind Versicherungsverträge auf den Erwerber übertragbar?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6.3.1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Abschnitt E — IT / SCADA / Datenschutz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Datenraum-Referenz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Wer ist Eigentümer der SCADA-Systeme? Bestehen Lizenz- oder Wartungsverträge mit Dritten (insbesondere Hargrave Systems Ltd.)?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7.1.2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Wurde ein TISAX- oder ISO-27001-Audit für die IT-Infrastruktur durchgeführt?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7.1.5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Wie viele Datensätze mit personenbezogenen Mitarbeiterdaten werden von UK nach DE übermittelt? Welche Datenkategorien?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7.2.1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