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Finales Memorandum — Executive Summary</w:t>
      </w:r>
    </w:p>
    <w:p>
      <w:pPr>
        <w:jc w:val="left"/>
      </w:pPr>
      <w:r>
        <w:t>Aktenzeichen: FST-2026-0918</w:t>
      </w:r>
    </w:p>
    <w:p>
      <w:pPr>
        <w:jc w:val="left"/>
      </w:pPr>
      <w:r>
        <w:t>Datum: 14. Mai 2026</w:t>
      </w:r>
    </w:p>
    <w:p>
      <w:pPr>
        <w:jc w:val="left"/>
      </w:pPr>
      <w:r>
        <w:t>Verfasserin: RA Dr. Theresa Federkamp-Wittfeldt</w:t>
      </w:r>
    </w:p>
    <w:p>
      <w:pPr>
        <w:jc w:val="left"/>
      </w:pPr>
      <w:r>
        <w:t>Empfänger: Dr. Reginald Volkenrath (CEO), Dr. Sabine Hagenburg (CFO), Marc Lattermann (COO), Dr. Petra Grüneberg (General Counsel)</w:t>
      </w:r>
    </w:p>
    <w:p>
      <w:pPr>
        <w:pStyle w:val="Heading2"/>
      </w:pPr>
      <w:r>
        <w:rPr>
          <w:rFonts w:ascii="Times New Roman" w:hAnsi="Times New Roman"/>
        </w:rPr>
        <w:t>I. Gegenstand</w:t>
      </w:r>
    </w:p>
    <w:p>
      <w:pPr>
        <w:jc w:val="left"/>
      </w:pPr>
      <w:r>
        <w:t>Dieses Memorandum fasst die wesentlichen Ergebnisse der Einzelmemorandenreihe Memo I–X (FST-2026-0918) zum geplanten Asset-Deal Volkenrath Energie SE / Pipeline Northsea Ltd. zusammen. Es ist als Entscheidungsgrundlage für Vorstand und Aufsichtsrat konzipiert.</w:t>
      </w:r>
    </w:p>
    <w:p>
      <w:pPr>
        <w:pStyle w:val="Heading2"/>
      </w:pPr>
      <w:r>
        <w:rPr>
          <w:rFonts w:ascii="Times New Roman" w:hAnsi="Times New Roman"/>
        </w:rPr>
        <w:t>II. Transaktionsstatus</w:t>
      </w:r>
    </w:p>
    <w:p>
      <w:pPr>
        <w:jc w:val="left"/>
      </w:pPr>
      <w:r>
        <w:t>Die Legal Due Diligence ist zu ca. 70% abgeschlossen (Stand: 14. Mai 2026). Kritische offene Punkte:</w:t>
      </w:r>
    </w:p>
    <w:p>
      <w:pPr>
        <w:pStyle w:val="ListBullet"/>
      </w:pPr>
      <w:r>
        <w:t>Phase-II-Umweltaudit: Ergebnis erwartet 20. Mai 2026</w:t>
      </w:r>
    </w:p>
    <w:p>
      <w:pPr>
        <w:pStyle w:val="ListBullet"/>
      </w:pPr>
      <w:r>
        <w:t>Vendor Q&amp;A: Antworten erwartet 23. Mai 2026</w:t>
      </w:r>
    </w:p>
    <w:p>
      <w:pPr>
        <w:pStyle w:val="ListBullet"/>
      </w:pPr>
      <w:r>
        <w:t>BNetzA-Voranfrage: Antwort erwartet Ende Mai 2026</w:t>
      </w:r>
    </w:p>
    <w:p>
      <w:pPr>
        <w:pStyle w:val="Heading2"/>
      </w:pPr>
      <w:r>
        <w:rPr>
          <w:rFonts w:ascii="Times New Roman" w:hAnsi="Times New Roman"/>
        </w:rPr>
        <w:t>III. Rechtliche Gesamtbewertung</w:t>
      </w:r>
    </w:p>
    <w:p>
      <w:pPr>
        <w:jc w:val="left"/>
      </w:pPr>
      <w:r>
        <w:rPr>
          <w:b/>
        </w:rPr>
        <w:t>Deal-Machbarkeit: JA</w:t>
      </w:r>
      <w:r>
        <w:t xml:space="preserve"> — unter Bedingungen.</w:t>
      </w:r>
    </w:p>
    <w:p>
      <w:pPr>
        <w:jc w:val="left"/>
      </w:pPr>
      <w:r>
        <w:t>Die Transaktion ist aus rechtlicher Sicht durchführbar. Kein einzelner Rechtsfragenkomplex stellt für sich allein einen unüberwindbaren Deal-Breaker dar. Die Kombination mehrerer Risiken (insbesondere Altlasten + AWG) erfordert jedoch aktives Management.</w:t>
      </w:r>
    </w:p>
    <w:p>
      <w:pPr>
        <w:pStyle w:val="Heading3"/>
      </w:pPr>
      <w:r>
        <w:rPr>
          <w:rFonts w:ascii="Times New Roman" w:hAnsi="Times New Roman"/>
        </w:rPr>
        <w:t>Zusammenfassung nach Rechtsgebiet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Rechtsgebiet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Handlungsbedarf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Gesellschaftsrecht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Aufsichtsratsbeschluss 18. Juni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Kartellrecht 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Pre-Notification bis 18. Mai 2026; Phase-2-Risiko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Kartellrecht UK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CMA Phase-1 bis 1. August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Außenwirtschaftsrecht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AWG-Freigabe BMWK kritisch; BMWK-Gespräch 12. Mai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Arbeitsrecht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613a-Prozess managebar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Umweltrecht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Altlasten: Escrow EUR 180.000.000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Immobilienrecht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SeeAnlV-Genehmigung BSH; NSTA UK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GmbH-Vehikel empfohlen; GViG-Anfrage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SCC-Vorsorge; DPA abschließen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Energierecht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BNetzA-Voranfrage; KRITIS-Registrierung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Covenants kritisch zu überwachen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IV. Empfehlung</w:t>
      </w:r>
    </w:p>
    <w:p>
      <w:pPr>
        <w:jc w:val="left"/>
      </w:pPr>
      <w:r>
        <w:t>FST empfiehlt dem Vorstand:</w:t>
      </w:r>
    </w:p>
    <w:p>
      <w:pPr>
        <w:pStyle w:val="ListNumber"/>
      </w:pPr>
      <w:r>
        <w:rPr>
          <w:b/>
        </w:rPr>
        <w:t>Signing am 20. Juni 2026</w:t>
      </w:r>
      <w:r>
        <w:t xml:space="preserve"> — sofern Phase-II-Umweltaudit keine Kosten über EUR 200.000.000 ausweist.</w:t>
      </w:r>
    </w:p>
    <w:p>
      <w:pPr>
        <w:pStyle w:val="ListNumber"/>
      </w:pPr>
      <w:r>
        <w:rPr>
          <w:b/>
        </w:rPr>
        <w:t>Escrow EUR 180.000.000</w:t>
      </w:r>
      <w:r>
        <w:t xml:space="preserve"> für Altlastenrisiken als zwingende Closing-Bedingung.</w:t>
      </w:r>
    </w:p>
    <w:p>
      <w:pPr>
        <w:pStyle w:val="ListNumber"/>
      </w:pPr>
      <w:r>
        <w:rPr>
          <w:b/>
        </w:rPr>
        <w:t>Keine Angebotserhöhung</w:t>
      </w:r>
      <w:r>
        <w:t xml:space="preserve"> wegen BioNova-Bieter — die Exklusivitätsklausel schützt ausreichend.</w:t>
      </w:r>
    </w:p>
    <w:p>
      <w:pPr>
        <w:pStyle w:val="ListNumber"/>
      </w:pPr>
      <w:r>
        <w:rPr>
          <w:b/>
        </w:rPr>
        <w:t>Closing am 1. September 2026</w:t>
      </w:r>
      <w:r>
        <w:t xml:space="preserve"> — abhängig von BKartA, CMA und BMWK-Freigaben.</w:t>
      </w:r>
    </w:p>
    <w:p>
      <w:pPr>
        <w:jc w:val="left"/>
      </w:pPr>
      <w:r>
        <w:t>Bei wesentlicher Verschlechterung der Altlastenlage oder AWG-Versagung empfiehlt FST die Dealaufgabe.</w:t>
      </w:r>
    </w:p>
    <w:p>
      <w:pPr>
        <w:pStyle w:val="Heading2"/>
      </w:pPr>
      <w:r>
        <w:rPr>
          <w:rFonts w:ascii="Times New Roman" w:hAnsi="Times New Roman"/>
        </w:rPr>
        <w:t>V. Offene Punkte bis Signing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Offener 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Erwartet bis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Phase-II-Umweltaudit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 Mai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Bremerhöfer GmbH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Vendor Q&amp;A Antworten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 Mai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Caledonian / Datenraum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BNetzA-Voranfrage Antwort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 Mai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BNetzA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BMWK-Gespräch 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 Mai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BMWK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Betriebsratsverhandlung Auftakt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 Mai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COO Lattermann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BSH SeeAnlV-Antrag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 Mai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Roosendaal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VI. Kontakt</w:t>
      </w:r>
    </w:p>
    <w:p>
      <w:pPr>
        <w:jc w:val="left"/>
      </w:pPr>
      <w:r>
        <w:t>Für Rückfragen steht das Deal-Team FST jederzeit zur Verfügung:</w:t>
      </w:r>
    </w:p>
    <w:p>
      <w:pPr>
        <w:pStyle w:val="ListBullet"/>
      </w:pPr>
      <w:r>
        <w:t>RA Dr. Theresa Federkamp-Wittfeldt: federkamp-wittfeldt@fst-kanzlei.de, +49 511 7820-100</w:t>
      </w:r>
    </w:p>
    <w:p>
      <w:pPr>
        <w:pStyle w:val="ListBullet"/>
      </w:pPr>
      <w:r>
        <w:t>Notfall-Erreichbarkeit: +49 172 4400918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