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01 — Fallschilderung: Werkstatt Tannenmoor, Meckenheim</w:t>
      </w:r>
    </w:p>
    <w:p>
      <w:pPr>
        <w:jc w:val="left"/>
      </w:pPr>
      <w:r>
        <w:t>Kanzleiaktenzeichen: MR-2026-0228</w:t>
      </w:r>
    </w:p>
    <w:p>
      <w:pPr>
        <w:jc w:val="left"/>
      </w:pPr>
      <w:r>
        <w:t>Erstellt von: RA Dr. Mark Roosendaal</w:t>
      </w:r>
    </w:p>
    <w:p>
      <w:pPr>
        <w:jc w:val="left"/>
      </w:pPr>
      <w:r>
        <w:t>Datum: 14. März 2026</w:t>
      </w:r>
    </w:p>
    <w:p>
      <w:pPr>
        <w:pStyle w:val="Heading2"/>
      </w:pPr>
      <w:r>
        <w:rPr>
          <w:rFonts w:ascii="Times New Roman" w:hAnsi="Times New Roman"/>
        </w:rPr>
        <w:t>I. Personen und Verhältnisse</w:t>
      </w:r>
    </w:p>
    <w:p>
      <w:pPr>
        <w:jc w:val="left"/>
      </w:pPr>
      <w:r>
        <w:t>Mandant: Lars Tannenmoor (geb. 12. August 1978), Kfz-Meister, wohnhaft und geschäftsansässig in 53340 Meckenheim, Bonner Straße 44. Inhaber der Einzelfirma „Tannenmoor Motorsport &amp; Sonderausstattung". Im Handelsregister Bonn eingetragen (HRA 9211). Spezialisiert auf Sonder- und Nachrüstungen von Sportwagen (Fahrwerk, Audio, Assistenzsysteme).</w:t>
      </w:r>
    </w:p>
    <w:p>
      <w:pPr>
        <w:jc w:val="left"/>
      </w:pPr>
      <w:r>
        <w:t>Auftraggeber/Schuldner: Veit Sauer-Hellbrunn (geb. 7. November 1984), Unternehmensberater, wohnhaft in 53177 Bonn-Beuel, Rheinallee 112. Halter eines Porsche 911 Carrera (Typ 992, Baujahr 2023, amtl. Kennzeichen BN-SH 892).</w:t>
      </w:r>
    </w:p>
    <w:p>
      <w:pPr>
        <w:pStyle w:val="Heading2"/>
      </w:pPr>
      <w:r>
        <w:rPr>
          <w:rFonts w:ascii="Times New Roman" w:hAnsi="Times New Roman"/>
        </w:rPr>
        <w:t>II. Chronologie</w:t>
      </w:r>
    </w:p>
    <w:p>
      <w:pPr>
        <w:pStyle w:val="ListNumber"/>
      </w:pPr>
      <w:r>
        <w:t>Oktober 2025: Veit Sauer-Hellbrunn nimmt telefonisch Kontakt zur Werkstatt Tannenmoor auf und erkundigt sich nach der Möglichkeit, einen Radarwarner (Fabrikat „ProAlert X7 Pro") einbauen zu lassen. Lars Tannenmoor bestätigt die technische Machbarkeit und nennt einen Kostenvoranschlag von ca. 2.000 EUR netto.</w:t>
      </w:r>
    </w:p>
    <w:p>
      <w:pPr>
        <w:pStyle w:val="ListNumber"/>
      </w:pPr>
      <w:r>
        <w:t>November 2025: Schriftlicher Werkvertrag wird unterzeichnet. Vertragsgegenstand: Einbau des Radarwarners ProAlert X7 Pro (inkl. Halterelektronik, GPS-Modul und CAN-Bus-Integration) in den Porsche 911 Carrera des Auftraggebers; Vergütung: 2.000 EUR netto zzgl. 19 % USt., mithin 2.380 EUR brutto; Fertigstellungsfrist: 20. November 2025.</w:t>
      </w:r>
    </w:p>
    <w:p>
      <w:pPr>
        <w:pStyle w:val="ListNumber"/>
      </w:pPr>
      <w:r>
        <w:t>November 2025: Übergabe des fertig umgerüsteten Fahrzeugs. Sauer-Hellbrunn quittiert die ordnungsgemäße Übergabe und prüft die Funktion des Geräts. Keine Mängelrüge. Werklohn wird mit Fälligkeit zum 25. November 2025 vereinbart.</w:t>
      </w:r>
    </w:p>
    <w:p>
      <w:pPr>
        <w:pStyle w:val="ListNumber"/>
      </w:pPr>
      <w:r>
        <w:t>November 2025: Sauer-Hellbrunn wird auf der BAB A 565 in Fahrtrichtung Köln von einer Polizeistreife des Polizeipräsidiums Bonn angehalten. Anlässlich einer Fahrzeugkontrolle wird der Radarwarner sichergestellt. Gegen Sauer-Hellbrunn wird ein Ordnungswidrigkeitenverfahren nach § 23 Abs. 1c StVO i.V.m. § 24 StVG eingeleitet (Bußgeld: 75 EUR; Verwarnung liegt vor).</w:t>
      </w:r>
    </w:p>
    <w:p>
      <w:pPr>
        <w:pStyle w:val="ListNumber"/>
      </w:pPr>
      <w:r>
        <w:t>November 2025: Sauer-Hellbrunn schreibt Tannenmoor per E-Mail: er verweigere die Zahlung. Der Vertrag sei nach § 134 BGB wegen Verstoßes gegen § 23 Abs. 1c StVO nichtig. Er fordert außerdem Schadensersatz für das sichergestellte Gerät.</w:t>
      </w:r>
    </w:p>
    <w:p>
      <w:pPr>
        <w:pStyle w:val="ListNumber"/>
      </w:pPr>
      <w:r>
        <w:t>Dezember 2025: Lars Tannenmoor erteilt RA Dr. Mark Roosendaal Mandat zur außergerichtlichen Geltendmachung des Werklohns sowie zur rechtlichen Überprüfung aller Gegenansprüche.</w:t>
      </w:r>
    </w:p>
    <w:p>
      <w:pPr>
        <w:pStyle w:val="Heading2"/>
      </w:pPr>
      <w:r>
        <w:rPr>
          <w:rFonts w:ascii="Times New Roman" w:hAnsi="Times New Roman"/>
        </w:rPr>
        <w:t>III. Vertragsunterlagen</w:t>
      </w:r>
    </w:p>
    <w:p>
      <w:pPr>
        <w:jc w:val="left"/>
      </w:pPr>
      <w:r>
        <w:t>Dem Mandat liegen bei:</w:t>
      </w:r>
    </w:p>
    <w:p>
      <w:pPr>
        <w:pStyle w:val="ListBullet"/>
      </w:pPr>
      <w:r>
        <w:t>Werkvertrag vom 3. November 2025 (Anlage K 1)</w:t>
      </w:r>
    </w:p>
    <w:p>
      <w:pPr>
        <w:pStyle w:val="ListBullet"/>
      </w:pPr>
      <w:r>
        <w:t>Übergabeprotokoll vom 18. November 2025 (Anlage K 2)</w:t>
      </w:r>
    </w:p>
    <w:p>
      <w:pPr>
        <w:pStyle w:val="ListBullet"/>
      </w:pPr>
      <w:r>
        <w:t>E-Mail Sauer-Hellbrunn vom 28. November 2025 (Anlage K 3)</w:t>
      </w:r>
    </w:p>
    <w:p>
      <w:pPr>
        <w:pStyle w:val="ListBullet"/>
      </w:pPr>
      <w:r>
        <w:t>Lieferschein ProAlert X7 Pro (Anlage K 4)</w:t>
      </w:r>
    </w:p>
    <w:p>
      <w:pPr>
        <w:pStyle w:val="ListBullet"/>
      </w:pPr>
      <w:r>
        <w:t>Kostenvoranschlag (Anlage K 5)</w:t>
      </w:r>
    </w:p>
    <w:p>
      <w:pPr>
        <w:pStyle w:val="Heading2"/>
      </w:pPr>
      <w:r>
        <w:rPr>
          <w:rFonts w:ascii="Times New Roman" w:hAnsi="Times New Roman"/>
        </w:rPr>
        <w:t>IV. Erste Rechtliche Einschätzung (vorläufig)</w:t>
      </w:r>
    </w:p>
    <w:p>
      <w:pPr>
        <w:jc w:val="left"/>
      </w:pPr>
      <w:r>
        <w:t>Der Werklohnanspruch nach § 631 Abs. 1 BGB könnte durch § 134 BGB ausgeschlossen sein, falls § 23 Abs. 1c StVO als beiderseitiges Verbotsgesetz zu werten ist. Fraglich ist, ob das Verbot (allein) an den Betrieb/Besitz des Geräts im Kraftfahrzeug anknüpft oder auch den Einbauvertrag als solchen erfasst. Die Rechtsprechung zu vergleichbaren Konstellationen (insb. Schwarzarbeit, BGH VII ZR 235/15) ist zu analysieren. Bereicherungsrechtlich ist § 817 S. 2 BGB potentiell sperrender Natur.</w:t>
      </w:r>
    </w:p>
    <w:p>
      <w:pPr>
        <w:jc w:val="left"/>
      </w:pPr>
      <w:r>
        <w:t>Weitere Prüfung folgt in den nachfolgenden Aktenstücken.</w:t>
      </w:r>
    </w:p>
    <w:p>
      <w:pPr>
        <w:pStyle w:val="Heading2"/>
      </w:pPr>
      <w:r>
        <w:rPr>
          <w:rFonts w:ascii="Times New Roman" w:hAnsi="Times New Roman"/>
        </w:rPr>
        <w:t>V. Quellen</w:t>
      </w:r>
    </w:p>
    <w:p>
      <w:pPr>
        <w:pStyle w:val="ListBullet"/>
      </w:pPr>
      <w:r>
        <w:t>§ 134 BGB: https://dejure.org/gesetze/BGB/134.html</w:t>
      </w:r>
    </w:p>
    <w:p>
      <w:pPr>
        <w:pStyle w:val="ListBullet"/>
      </w:pPr>
      <w:r>
        <w:t>§ 631 BGB: https://dejure.org/gesetze/BGB/631.html</w:t>
      </w:r>
    </w:p>
    <w:p>
      <w:pPr>
        <w:pStyle w:val="ListBullet"/>
      </w:pPr>
      <w:r>
        <w:t>§ 23 StVO: https://dejure.org/gesetze/StVO/23.html</w:t>
      </w:r>
    </w:p>
    <w:p>
      <w:pPr>
        <w:pStyle w:val="ListBullet"/>
      </w:pPr>
      <w:r>
        <w:t>BGH VII ZR 235/15: https://www.bundesgerichtshof.de/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