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02 — Fragenkatalog des Mandanten Lars Tannenmoor</w:t>
      </w:r>
    </w:p>
    <w:p>
      <w:pPr>
        <w:jc w:val="left"/>
      </w:pPr>
      <w:r>
        <w:t>Kanzleiaktenzeichen: MR-2026-0228</w:t>
      </w:r>
    </w:p>
    <w:p>
      <w:pPr>
        <w:jc w:val="left"/>
      </w:pPr>
      <w:r>
        <w:t>Erfasst durch: RA Dr. Mark Roosendaal nach Erstgespräch 10. Dezember 2025</w:t>
      </w:r>
    </w:p>
    <w:p>
      <w:pPr>
        <w:pStyle w:val="Heading2"/>
      </w:pPr>
      <w:r>
        <w:rPr>
          <w:rFonts w:ascii="Times New Roman" w:hAnsi="Times New Roman"/>
        </w:rPr>
        <w:t>Fragen des Mandanten (Protokolliert)</w:t>
      </w:r>
    </w:p>
    <w:p>
      <w:pPr>
        <w:jc w:val="left"/>
      </w:pPr>
      <w:r>
        <w:rPr>
          <w:b/>
        </w:rPr>
        <w:t>Frage 1:</w:t>
      </w:r>
      <w:r>
        <w:t xml:space="preserve"> „Ich habe den Radarwarner ordnungsgemäß eingebaut. Das Gerät funktioniert einwandfrei. Kann Sauer-Hellbrunn wirklich einfach die Zahlung verweigern, weil die Polizei das Ding beschlagnahmt hat?"</w:t>
      </w:r>
    </w:p>
    <w:p>
      <w:pPr>
        <w:jc w:val="left"/>
      </w:pPr>
      <w:r>
        <w:t>Rechtlicher Kern: Erfüllung des Werkvertrags (§ 631 BGB), mangelfreie Werkleistung (§ 633 BGB), Nichtigkeit nach § 134 BGB.</w:t>
      </w:r>
    </w:p>
    <w:p>
      <w:pPr>
        <w:jc w:val="left"/>
      </w:pPr>
      <w:r>
        <w:rPr>
          <w:b/>
        </w:rPr>
        <w:t>Frage 2:</w:t>
      </w:r>
      <w:r>
        <w:t xml:space="preserve"> „Das ist doch kein Verbrechen, einen Radarwarner einzubauen — ich kenne mehrere Kollegen, die das machen. Ist das wirklich verboten?"</w:t>
      </w:r>
    </w:p>
    <w:p>
      <w:pPr>
        <w:jc w:val="left"/>
      </w:pPr>
      <w:r>
        <w:t>Rechtlicher Kern: § 23 Abs. 1c StVO (Verbotsgesetz); Reichweite des Verbots; einseitiges oder beiderseitiges Verbotsgesetz.</w:t>
      </w:r>
    </w:p>
    <w:p>
      <w:pPr>
        <w:jc w:val="left"/>
      </w:pPr>
      <w:r>
        <w:rPr>
          <w:b/>
        </w:rPr>
        <w:t>Frage 3:</w:t>
      </w:r>
      <w:r>
        <w:t xml:space="preserve"> „Was ist, wenn der Vertrag nichtig ist — kriege ich dann gar nichts? Ich habe immerhin Material verbaut und Arbeit investiert."</w:t>
      </w:r>
    </w:p>
    <w:p>
      <w:pPr>
        <w:jc w:val="left"/>
      </w:pPr>
      <w:r>
        <w:t>Rechtlicher Kern: Bereicherungsrecht §§ 812 ff. BGB; Sperrwirkung § 817 S. 2 BGB; Verwendungsersatz.</w:t>
      </w:r>
    </w:p>
    <w:p>
      <w:pPr>
        <w:jc w:val="left"/>
      </w:pPr>
      <w:r>
        <w:rPr>
          <w:b/>
        </w:rPr>
        <w:t>Frage 4:</w:t>
      </w:r>
      <w:r>
        <w:t xml:space="preserve"> „Sauer-Hellbrunn droht mir mit einer Schadensersatzklage wegen des beschlagnahmten Geräts. Hat er da einen Anspruch gegen mich?"</w:t>
      </w:r>
    </w:p>
    <w:p>
      <w:pPr>
        <w:jc w:val="left"/>
      </w:pPr>
      <w:r>
        <w:t>Rechtlicher Kern: Deliktsrecht § 823 BGB; Konkurrenz zum Werkvertragsrecht; Verschulden; kein ersatzfähiger Schaden bei eigenem Fehlverhalten.</w:t>
      </w:r>
    </w:p>
    <w:p>
      <w:pPr>
        <w:jc w:val="left"/>
      </w:pPr>
      <w:r>
        <w:rPr>
          <w:b/>
        </w:rPr>
        <w:t>Frage 5:</w:t>
      </w:r>
      <w:r>
        <w:t xml:space="preserve"> „Ich bin KFZ-Meister und das ist mein Beruf. Darf der Gesetzgeber mir verbieten, solche Umrüstungen vorzunehmen?"</w:t>
      </w:r>
    </w:p>
    <w:p>
      <w:pPr>
        <w:jc w:val="left"/>
      </w:pPr>
      <w:r>
        <w:t>Rechtlicher Kern: Berufsfreiheit Art. 12 GG; verfassungskonforme Auslegung des § 134 BGB i.V.m. § 23 Abs. 1c StVO; Verhältnismäßigkeit.</w:t>
      </w:r>
    </w:p>
    <w:p>
      <w:pPr>
        <w:jc w:val="left"/>
      </w:pPr>
      <w:r>
        <w:rPr>
          <w:b/>
        </w:rPr>
        <w:t>Frage 6:</w:t>
      </w:r>
      <w:r>
        <w:t xml:space="preserve"> „Wenn ich ihn verklage — wie hoch sind meine Chancen? Und was kostet das Verfahren ungefähr?"</w:t>
      </w:r>
    </w:p>
    <w:p>
      <w:pPr>
        <w:jc w:val="left"/>
      </w:pPr>
      <w:r>
        <w:t>Rechtlicher Kern: Prozessrisikoabschätzung; Beweislast; Streitwert 2.380 EUR (LG-Grenze überschritten nicht, AG Meckenheim/Bonn zuständig).</w:t>
      </w:r>
    </w:p>
    <w:p>
      <w:pPr>
        <w:jc w:val="left"/>
      </w:pPr>
      <w:r>
        <w:rPr>
          <w:b/>
        </w:rPr>
        <w:t>Frage 7:</w:t>
      </w:r>
      <w:r>
        <w:t xml:space="preserve"> „Gibt es neuere BGH-Urteile, auf die wir uns berufen können?"</w:t>
      </w:r>
    </w:p>
    <w:p>
      <w:pPr>
        <w:jc w:val="left"/>
      </w:pPr>
      <w:r>
        <w:t>Rechtlicher Kern: BGH VII ZR 235/15; weitere BGH-Rechtsprechung zu § 134 BGB; analoge Anwendung.</w:t>
      </w:r>
    </w:p>
    <w:p>
      <w:pPr>
        <w:pStyle w:val="Heading2"/>
      </w:pPr>
      <w:r>
        <w:rPr>
          <w:rFonts w:ascii="Times New Roman" w:hAnsi="Times New Roman"/>
        </w:rPr>
        <w:t>Bewertung der Fragen durch RA Dr. Roosendaal</w:t>
      </w:r>
    </w:p>
    <w:p>
      <w:pPr>
        <w:jc w:val="left"/>
      </w:pPr>
      <w:r>
        <w:t>Die Fragen des Mandanten decken das gesamte methodische Spektrum ab:</w:t>
      </w:r>
    </w:p>
    <w:p>
      <w:pPr>
        <w:pStyle w:val="ListBullet"/>
      </w:pPr>
      <w:r>
        <w:t>Auslegung des § 134 BGB und § 23 StVO (grammatikalisch, systematisch, teleologisch)</w:t>
      </w:r>
    </w:p>
    <w:p>
      <w:pPr>
        <w:pStyle w:val="ListBullet"/>
      </w:pPr>
      <w:r>
        <w:t>Analogie zur Schwarzarbeitsjudikatur</w:t>
      </w:r>
    </w:p>
    <w:p>
      <w:pPr>
        <w:pStyle w:val="ListBullet"/>
      </w:pPr>
      <w:r>
        <w:t>Verfassungskonforme Auslegung</w:t>
      </w:r>
    </w:p>
    <w:p>
      <w:pPr>
        <w:pStyle w:val="ListBullet"/>
      </w:pPr>
      <w:r>
        <w:t>Konkurrenzen im Bereicherungsrecht</w:t>
      </w:r>
    </w:p>
    <w:p>
      <w:pPr>
        <w:jc w:val="left"/>
      </w:pPr>
      <w:r>
        <w:t>Priorität: Fragen 1–3 (Werklohn und Bereicherung) sind vorrangig zu klären.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134 BGB: https://dejure.org/gesetze/BGB/134.html</w:t>
      </w:r>
    </w:p>
    <w:p>
      <w:pPr>
        <w:pStyle w:val="ListBullet"/>
      </w:pPr>
      <w:r>
        <w:t>§ 812 BGB: https://dejure.org/gesetze/BGB/812.html</w:t>
      </w:r>
    </w:p>
    <w:p>
      <w:pPr>
        <w:pStyle w:val="ListBullet"/>
      </w:pPr>
      <w:r>
        <w:t>§ 817 BGB: https://dejure.org/gesetze/BGB/817.html</w:t>
      </w:r>
    </w:p>
    <w:p>
      <w:pPr>
        <w:pStyle w:val="ListBullet"/>
      </w:pPr>
      <w:r>
        <w:t>Art. 12 GG: https://www.gesetze-im-internet.de/gg/art_12.html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