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03 — Erste Grobgutachten-Skizze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RA Dr. Mark Roosendaal</w:t>
      </w:r>
    </w:p>
    <w:p>
      <w:pPr>
        <w:jc w:val="left"/>
      </w:pPr>
      <w:r>
        <w:t>Datum: 15. Dezember 2025</w:t>
      </w:r>
    </w:p>
    <w:p>
      <w:pPr>
        <w:pStyle w:val="Heading2"/>
      </w:pPr>
      <w:r>
        <w:rPr>
          <w:rFonts w:ascii="Times New Roman" w:hAnsi="Times New Roman"/>
        </w:rPr>
        <w:t>Prüfungsschema (Grob)</w:t>
      </w:r>
    </w:p>
    <w:p>
      <w:pPr>
        <w:pStyle w:val="Heading3"/>
      </w:pPr>
      <w:r>
        <w:rPr>
          <w:rFonts w:ascii="Times New Roman" w:hAnsi="Times New Roman"/>
        </w:rPr>
        <w:t>A. Werklohnanspruch des Lars Tannenmoor gegen Veit Sauer-Hellbrunn, § 631 Abs. 1 BGB</w:t>
      </w:r>
    </w:p>
    <w:p>
      <w:pPr>
        <w:jc w:val="left"/>
      </w:pPr>
      <w:r>
        <w:rPr>
          <w:b/>
        </w:rPr>
        <w:t>I. Tatbestand</w:t>
      </w:r>
    </w:p>
    <w:p>
      <w:pPr>
        <w:pStyle w:val="ListNumber"/>
      </w:pPr>
      <w:r>
        <w:t>Werkvertrag geschlossen? (+) — schriftlicher Vertrag vom 3.11.2025</w:t>
      </w:r>
    </w:p>
    <w:p>
      <w:pPr>
        <w:pStyle w:val="ListNumber"/>
      </w:pPr>
      <w:r>
        <w:t>Werk hergestellt? (+) — Übergabe 18.11.2025, Funktion bestätigt</w:t>
      </w:r>
    </w:p>
    <w:p>
      <w:pPr>
        <w:pStyle w:val="ListNumber"/>
      </w:pPr>
      <w:r>
        <w:t>Vergütung vereinbart? (+) — 2.380 EUR brutto</w:t>
      </w:r>
    </w:p>
    <w:p>
      <w:pPr>
        <w:jc w:val="left"/>
      </w:pPr>
      <w:r>
        <w:rPr>
          <w:b/>
        </w:rPr>
        <w:t>II. Nichtigkeit nach § 134 BGB i.V.m. § 23 Abs. 1c StVO?</w:t>
      </w:r>
    </w:p>
    <w:p>
      <w:pPr>
        <w:jc w:val="left"/>
      </w:pPr>
      <w:r>
        <w:t>Problem: Ist § 23 Abs. 1c StVO ein Verbotsgesetz im Sinne des § 134 BGB, das auch den schuldrechtlichen Einbauvertrag erfasst?</w:t>
      </w:r>
    </w:p>
    <w:p>
      <w:pPr>
        <w:jc w:val="left"/>
      </w:pPr>
      <w:r>
        <w:t>Prüfungsschritte:</w:t>
      </w:r>
    </w:p>
    <w:p>
      <w:pPr>
        <w:jc w:val="left"/>
      </w:pPr>
      <w:r>
        <w:t>a) Wortlaut § 23 Abs. 1c StVO: richtet sich an den Fahrzeugführer (einseitiges Verbot?)</w:t>
      </w:r>
    </w:p>
    <w:p>
      <w:pPr>
        <w:jc w:val="left"/>
      </w:pPr>
      <w:r>
        <w:t>b) Systematik: Ordnungswidrigkeitenrecht; zivilrechtliche Wirkung nicht ausdrücklich angeordnet</w:t>
      </w:r>
    </w:p>
    <w:p>
      <w:pPr>
        <w:jc w:val="left"/>
      </w:pPr>
      <w:r>
        <w:t>c) Telos: Schutz der Allgemeinheit vor Radarwarnern im Straßenverkehr; Frage: Erfasst das Telos auch den Einbauvertrag?</w:t>
      </w:r>
    </w:p>
    <w:p>
      <w:pPr>
        <w:jc w:val="left"/>
      </w:pPr>
      <w:r>
        <w:t>d) Historische Auslegung: Schuldrechtsmodernisierung 2002 hat § 134 BGB unverändert gelassen</w:t>
      </w:r>
    </w:p>
    <w:p>
      <w:pPr>
        <w:jc w:val="left"/>
      </w:pPr>
      <w:r>
        <w:t>e) Verfassungskonforme Auslegung: Art. 12 GG (Berufsfreiheit Tannenmoor)</w:t>
      </w:r>
    </w:p>
    <w:p>
      <w:pPr>
        <w:jc w:val="left"/>
      </w:pPr>
      <w:r>
        <w:t>Ergebnis vorläufig: § 23 Abs. 1c StVO als einseitiges Verbotsgesetz → § 134 BGB greift nicht → Werkvertrag wirksam.</w:t>
      </w:r>
    </w:p>
    <w:p>
      <w:pPr>
        <w:jc w:val="left"/>
      </w:pPr>
      <w:r>
        <w:rPr>
          <w:b/>
        </w:rPr>
        <w:t>III. Mangelhaftigkeit (§ 633 BGB)?</w:t>
      </w:r>
    </w:p>
    <w:p>
      <w:pPr>
        <w:jc w:val="left"/>
      </w:pPr>
      <w:r>
        <w:t>Sauer-Hellbrunn könnte argumentieren, das Werk sei mangelhaft (§ 633 Abs. 2 S. 2 BGB: zweckwidrig, da nicht für den Straßenverkehr geeignet). Gegenargument: Das Werk erfüllt die vereinbarte Beschaffenheit; die Illegalität des Zwecks fällt in die Risikosphäre des Auftraggebers.</w:t>
      </w:r>
    </w:p>
    <w:p>
      <w:pPr>
        <w:jc w:val="left"/>
      </w:pPr>
      <w:r>
        <w:rPr>
          <w:b/>
        </w:rPr>
        <w:t>IV. Hilfsweise: Bereicherungsrechtlicher Anspruch (§ 812 Abs. 1 S. 1 Alt. 1 BGB)</w:t>
      </w:r>
    </w:p>
    <w:p>
      <w:pPr>
        <w:jc w:val="left"/>
      </w:pPr>
      <w:r>
        <w:t>Wenn § 134 BGB Nichtigkeit bewirkt: Kondiktionsanspruch möglich, aber § 817 S. 2 BGB könnte entgegenstehen, wenn Tannenmoor ebenfalls gegen ein gesetzliches Verbot verstoßen hat.</w:t>
      </w:r>
    </w:p>
    <w:p>
      <w:pPr>
        <w:jc w:val="left"/>
      </w:pPr>
      <w:r>
        <w:t>Entscheidende Frage: Ist das Verbot ein beiderseitiges?</w:t>
      </w:r>
    </w:p>
    <w:p>
      <w:pPr>
        <w:pStyle w:val="Heading3"/>
      </w:pPr>
      <w:r>
        <w:rPr>
          <w:rFonts w:ascii="Times New Roman" w:hAnsi="Times New Roman"/>
        </w:rPr>
        <w:t>B. Schadensersatzanspruch Sauer-Hellbrunn gegen Tannenmoor (§ 823 BGB)?</w:t>
      </w:r>
    </w:p>
    <w:p>
      <w:pPr>
        <w:jc w:val="left"/>
      </w:pPr>
      <w:r>
        <w:t>Fraglich. Sauer-Hellbrunn hat das Gerät bewusst betrieben; kein ersatzfähiger Schaden aus der Sicherstellung, da durch eigenes rechtswidriges Verhalten verursacht. Mitverschulden (§ 254 BGB) oder Ausschluss jedweden Ersatzes.</w:t>
      </w:r>
    </w:p>
    <w:p>
      <w:pPr>
        <w:pStyle w:val="Heading3"/>
      </w:pPr>
      <w:r>
        <w:rPr>
          <w:rFonts w:ascii="Times New Roman" w:hAnsi="Times New Roman"/>
        </w:rPr>
        <w:t>C. Ergebnis</w:t>
      </w:r>
    </w:p>
    <w:p>
      <w:pPr>
        <w:jc w:val="left"/>
      </w:pPr>
      <w:r>
        <w:t>Wahrscheinlich: Werklohnanspruch besteht (§ 631 BGB). § 134 BGB greift nicht, da § 23 Abs. 1c StVO als einseitiges Verbotsgesetz zu qualifizieren ist. Sauer-Hellbruns Schadensersatzanspruch ist unbegründet.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Bullet"/>
      </w:pPr>
      <w:r>
        <w:t>Tiefenprüfung aller Auslegungskanones (Aktenstücke 05–09)</w:t>
      </w:r>
    </w:p>
    <w:p>
      <w:pPr>
        <w:pStyle w:val="ListBullet"/>
      </w:pPr>
      <w:r>
        <w:t>Analogieprüfung BGH VII ZR 235/15 (Aktenstück 10)</w:t>
      </w:r>
    </w:p>
    <w:p>
      <w:pPr>
        <w:pStyle w:val="ListBullet"/>
      </w:pPr>
      <w:r>
        <w:t>Literaturrecherche Medicus, Larenz, Rüthers (Aktenstück 16)</w:t>
      </w:r>
    </w:p>
    <w:p>
      <w:pPr>
        <w:pStyle w:val="ListBullet"/>
      </w:pPr>
      <w:r>
        <w:t>Musterschreiben an Sauer-Hellbrunn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631, 633, 134 BGB: https://dejure.org/gesetze/BGB/</w:t>
      </w:r>
    </w:p>
    <w:p>
      <w:pPr>
        <w:pStyle w:val="ListBullet"/>
      </w:pPr>
      <w:r>
        <w:t>§ 23 StVO: https://dejure.org/gesetze/StVO/23.html</w:t>
      </w:r>
    </w:p>
    <w:p>
      <w:pPr>
        <w:pStyle w:val="ListBullet"/>
      </w:pPr>
      <w:r>
        <w:t>BGH VII ZR 235/15: https://openjur.de/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