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04 — Anwendungsbereich: Werkvertrag und § 823 BGB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Dr. Annegret Pohlmann (Doktorandin, Universität Bonn)</w:t>
      </w:r>
    </w:p>
    <w:p>
      <w:pPr>
        <w:jc w:val="left"/>
      </w:pPr>
      <w:r>
        <w:t>Datum: 18. Dezember 2025</w:t>
      </w:r>
    </w:p>
    <w:p>
      <w:pPr>
        <w:pStyle w:val="Heading2"/>
      </w:pPr>
      <w:r>
        <w:rPr>
          <w:rFonts w:ascii="Times New Roman" w:hAnsi="Times New Roman"/>
        </w:rPr>
        <w:t>I. Vertragstyp: Werkvertrag (§ 631 BGB)</w:t>
      </w:r>
    </w:p>
    <w:p>
      <w:pPr>
        <w:jc w:val="left"/>
      </w:pPr>
      <w:r>
        <w:t>Der zwischen Lars Tannenmoor und Veit Sauer-Hellbrunn geschlossene Vertrag ist als Werkvertrag im Sinne des § 631 Abs. 1 BGB zu qualifizieren. Gegenstand ist die Herbeiführung eines bestimmten Werkerfolgs — nämlich der sachgerechte Einbau des Radarwarners ProAlert X7 Pro in den Porsche 911 Carrera —, nicht bloß eine Dienstleistung.</w:t>
      </w:r>
    </w:p>
    <w:p>
      <w:pPr>
        <w:jc w:val="left"/>
      </w:pPr>
      <w:r>
        <w:t>Abgrenzung zum Kaufvertrag (§ 433 BGB): Der Schwerpunkt liegt auf der handwerklichen Leistung (Einbau, Kabelführung, CAN-Bus-Anbindung), nicht auf der Lieferung des Geräts als solchem. Gemischter Vertrag möglich, aber Werkvertragsrecht dominiert (Schwerpunkttheorie, BGH NJW 2017, 1868).</w:t>
      </w:r>
    </w:p>
    <w:p>
      <w:pPr>
        <w:jc w:val="left"/>
      </w:pPr>
      <w:r>
        <w:t>Abgrenzung zum Dienstvertrag (§ 611 BGB): Schuldet ist ein Erfolg (§ 631 Abs. 2 BGB), kein bloßes Tätigwerden.</w:t>
      </w:r>
    </w:p>
    <w:p>
      <w:pPr>
        <w:pStyle w:val="Heading2"/>
      </w:pPr>
      <w:r>
        <w:rPr>
          <w:rFonts w:ascii="Times New Roman" w:hAnsi="Times New Roman"/>
        </w:rPr>
        <w:t>II. Anwendungsbereich des § 823 BGB im Verhältnis zum Werkvertragsrecht</w:t>
      </w:r>
    </w:p>
    <w:p>
      <w:pPr>
        <w:pStyle w:val="Heading3"/>
      </w:pPr>
      <w:r>
        <w:rPr>
          <w:rFonts w:ascii="Times New Roman" w:hAnsi="Times New Roman"/>
        </w:rPr>
        <w:t>1. Grundsatz: Vertragsfreiheit und Konkurrenz</w:t>
      </w:r>
    </w:p>
    <w:p>
      <w:pPr>
        <w:jc w:val="left"/>
      </w:pPr>
      <w:r>
        <w:t>§ 823 BGB und die §§ 631 ff. BGB stehen in einem Konkurrenzverhältnis, wenn dieselbe Handlung sowohl Vertragsrecht als auch Deliktsrecht berührt.</w:t>
      </w:r>
    </w:p>
    <w:p>
      <w:pPr>
        <w:pStyle w:val="Heading3"/>
      </w:pPr>
      <w:r>
        <w:rPr>
          <w:rFonts w:ascii="Times New Roman" w:hAnsi="Times New Roman"/>
        </w:rPr>
        <w:t>2. Mögliche deliktische Ansprüche Sauer-Hellbruns</w:t>
      </w:r>
    </w:p>
    <w:p>
      <w:pPr>
        <w:jc w:val="left"/>
      </w:pPr>
      <w:r>
        <w:t>Sauer-Hellbrunn könnte argumentieren:</w:t>
      </w:r>
    </w:p>
    <w:p>
      <w:pPr>
        <w:pStyle w:val="ListBullet"/>
      </w:pPr>
      <w:r>
        <w:t>§ 823 Abs. 1 BGB: Verletzung eines Rechtsguts (Eigentum am sichergestellten Gerät?). Problem: Das Eigentum wurde nicht durch Tannenmoor verletzt, sondern durch die staatliche Sicherstellung. Tannenmoor hat das Gerät vertragsgemäß eingebaut; die Sicherstellung ist Folge des eigenen rechtswidrigen Verhaltens des Sauer-Hellbrunn.</w:t>
      </w:r>
    </w:p>
    <w:p>
      <w:pPr>
        <w:pStyle w:val="ListBullet"/>
      </w:pPr>
      <w:r>
        <w:t>§ 823 Abs. 2 BGB i.V.m. § 23 Abs. 1c StVO: § 23 Abs. 1c StVO als Schutzgesetz. Fraglich, ob das Schutzgesetz Dritte (Einbauer) erfasst oder nur den Fahrzeugführer.</w:t>
      </w:r>
    </w:p>
    <w:p>
      <w:pPr>
        <w:pStyle w:val="Heading3"/>
      </w:pPr>
      <w:r>
        <w:rPr>
          <w:rFonts w:ascii="Times New Roman" w:hAnsi="Times New Roman"/>
        </w:rPr>
        <w:t>3. Ergebnis zur Deliktsrechtsfrage</w:t>
      </w:r>
    </w:p>
    <w:p>
      <w:pPr>
        <w:jc w:val="left"/>
      </w:pPr>
      <w:r>
        <w:t>§ 823 Abs. 2 BGB i.V.m. § 23 Abs. 1c StVO scheidet aus, da die Norm den Fahrzeugführer adressiert, nicht den Einbaubetrieb. Kein Schutzgesetz zugunsten von Sauer-Hellbrunn gegenüber Tannenmoor. Außerdem: Sauer-Hellbrunn wollte das Gerät eingebaut haben; es fehlt an der Zurechenbarkeit eines Schadens an Tannenmoor.</w:t>
      </w:r>
    </w:p>
    <w:p>
      <w:pPr>
        <w:pStyle w:val="Heading3"/>
      </w:pPr>
      <w:r>
        <w:rPr>
          <w:rFonts w:ascii="Times New Roman" w:hAnsi="Times New Roman"/>
        </w:rPr>
        <w:t>4. Konkurrenzverhältnis im Ergebnis</w:t>
      </w:r>
    </w:p>
    <w:p>
      <w:pPr>
        <w:jc w:val="left"/>
      </w:pPr>
      <w:r>
        <w:t>Das Werkvertragsrecht verdrängt im vorliegenden Fall das Deliktsrecht nicht vollständig (kein echtes Konkurrenzproblem mangels deliktischer Ansprüche). Beide Regelungskomplexe betreffen unterschiedliche Aspekte des Sachverhalts.</w:t>
      </w:r>
    </w:p>
    <w:p>
      <w:pPr>
        <w:pStyle w:val="Heading2"/>
      </w:pPr>
      <w:r>
        <w:rPr>
          <w:rFonts w:ascii="Times New Roman" w:hAnsi="Times New Roman"/>
        </w:rPr>
        <w:t>III. Quellen</w:t>
      </w:r>
    </w:p>
    <w:p>
      <w:pPr>
        <w:pStyle w:val="ListBullet"/>
      </w:pPr>
      <w:r>
        <w:t>§ 631, 823 BGB: https://dejure.org/gesetze/BGB/</w:t>
      </w:r>
    </w:p>
    <w:p>
      <w:pPr>
        <w:pStyle w:val="ListBullet"/>
      </w:pPr>
      <w:r>
        <w:t>BGH NJW 2017, 1868 (Schwerpunkttheorie): https://www.bundesgerichtshof.de/</w:t>
      </w:r>
    </w:p>
    <w:p>
      <w:pPr>
        <w:pStyle w:val="ListBullet"/>
      </w:pPr>
      <w:r>
        <w:t>§ 23 StVO: https://dejure.org/gesetze/StVO/23.html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