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05 — Wortlautauslegung: Mangelbegriff § 633 BGB</w:t>
      </w:r>
    </w:p>
    <w:p>
      <w:pPr>
        <w:jc w:val="left"/>
      </w:pPr>
      <w:r>
        <w:t>Kanzleiaktenzeichen: MR-2026-0228</w:t>
      </w:r>
    </w:p>
    <w:p>
      <w:pPr>
        <w:jc w:val="left"/>
      </w:pPr>
      <w:r>
        <w:t>Verfasser: Dr. Annegret Pohlmann</w:t>
      </w:r>
    </w:p>
    <w:p>
      <w:pPr>
        <w:jc w:val="left"/>
      </w:pPr>
      <w:r>
        <w:t>Datum: 19. Dezember 2025</w:t>
      </w:r>
    </w:p>
    <w:p>
      <w:pPr>
        <w:pStyle w:val="Heading2"/>
      </w:pPr>
      <w:r>
        <w:rPr>
          <w:rFonts w:ascii="Times New Roman" w:hAnsi="Times New Roman"/>
        </w:rPr>
        <w:t>I. Grammatikalische Auslegung des § 633 BGB</w:t>
      </w:r>
    </w:p>
    <w:p>
      <w:pPr>
        <w:pStyle w:val="Heading3"/>
      </w:pPr>
      <w:r>
        <w:rPr>
          <w:rFonts w:ascii="Times New Roman" w:hAnsi="Times New Roman"/>
        </w:rPr>
        <w:t>1. Wortlaut</w:t>
      </w:r>
    </w:p>
    <w:p>
      <w:pPr>
        <w:jc w:val="left"/>
      </w:pPr>
      <w:r>
        <w:t>§ 633 Abs. 1 BGB: „Der Unternehmer hat dem Besteller das Werk frei von Sach- und Rechtsmängeln zu verschaffen."</w:t>
      </w:r>
    </w:p>
    <w:p>
      <w:pPr>
        <w:jc w:val="left"/>
      </w:pPr>
      <w:r>
        <w:t>§ 633 Abs. 2 BGB:</w:t>
      </w:r>
    </w:p>
    <w:p>
      <w:pPr>
        <w:jc w:val="left"/>
      </w:pPr>
      <w:r>
        <w:t>„(2) Das Werk ist frei von Sachmängeln, wenn es die vereinbarte Beschaffenheit hat. Soweit die Beschaffenheit nicht vereinbart ist, ist das Werk frei von Sachmängeln,</w:t>
      </w:r>
    </w:p>
    <w:p>
      <w:pPr>
        <w:pStyle w:val="ListNumber"/>
      </w:pPr>
      <w:r>
        <w:t>wenn es sich für die nach dem Vertrag vorausgesetzte Verwendung eignet,</w:t>
      </w:r>
    </w:p>
    <w:p>
      <w:pPr>
        <w:pStyle w:val="ListNumber"/>
      </w:pPr>
      <w:r>
        <w:t>wenn es sich für die gewöhnliche Verwendung eignet und eine Beschaffenheit aufweist, die bei Werken der gleichen Art üblich ist und die der Besteller nach der Art des Werkes erwarten kann."</w:t>
      </w:r>
    </w:p>
    <w:p>
      <w:pPr>
        <w:pStyle w:val="Heading3"/>
      </w:pPr>
      <w:r>
        <w:rPr>
          <w:rFonts w:ascii="Times New Roman" w:hAnsi="Times New Roman"/>
        </w:rPr>
        <w:t>2. Auslegung des Begriffs „vereinbarte Beschaffenheit"</w:t>
      </w:r>
    </w:p>
    <w:p>
      <w:pPr>
        <w:jc w:val="left"/>
      </w:pPr>
      <w:r>
        <w:t>Der Wortlaut stellt zunächst auf die vereinbarte Beschaffenheit ab. Im vorliegenden Fall war die Beschaffenheit ausdrücklich vertraglich vereinbart: Einbau eines funktionsfähigen Radarwarners ProAlert X7 Pro. Dieser Einbau wurde ordnungsgemäß erbracht. Der Wortlaut des § 633 Abs. 2 S. 1 BGB spricht damit für die Mangelfreiheit.</w:t>
      </w:r>
    </w:p>
    <w:p>
      <w:pPr>
        <w:pStyle w:val="Heading3"/>
      </w:pPr>
      <w:r>
        <w:rPr>
          <w:rFonts w:ascii="Times New Roman" w:hAnsi="Times New Roman"/>
        </w:rPr>
        <w:t>3. Auslegung von „Eignung für die nach dem Vertrag vorausgesetzte Verwendung"</w:t>
      </w:r>
    </w:p>
    <w:p>
      <w:pPr>
        <w:jc w:val="left"/>
      </w:pPr>
      <w:r>
        <w:t>Problematisch könnte sein: Das Gerät ist nach § 23 Abs. 1c StVO im Straßenverkehr verboten. Ist es deshalb für die „nach dem Vertrag vorausgesetzte Verwendung" ungeeignet?</w:t>
      </w:r>
    </w:p>
    <w:p>
      <w:pPr>
        <w:jc w:val="left"/>
      </w:pPr>
      <w:r>
        <w:t>Wortlautanalyse: Die „vorausgesetzte Verwendung" ist der Betrieb im Fahrzeug zur Warnung vor Radarkontrollen. Diese Verwendung ist technisch möglich (Gerät funktioniert). Der Wortlaut sagt nichts über die Legalität der Verwendung.</w:t>
      </w:r>
    </w:p>
    <w:p>
      <w:pPr>
        <w:pStyle w:val="Heading3"/>
      </w:pPr>
      <w:r>
        <w:rPr>
          <w:rFonts w:ascii="Times New Roman" w:hAnsi="Times New Roman"/>
        </w:rPr>
        <w:t>4. Begriff des Rechtsmangels (§ 633 Abs. 3 BGB)</w:t>
      </w:r>
    </w:p>
    <w:p>
      <w:pPr>
        <w:jc w:val="left"/>
      </w:pPr>
      <w:r>
        <w:t>Ein Rechtsmangel liegt vor, wenn Dritte Rechte geltend machen könnten, die den Besteller beeinträchtigen. Die staatliche Sicherstellung begründet keinen Rechtsmangel im technischen Sinne: Es handelt sich um eine hoheitliche Maßnahme wegen des eigenen rechtswidrigen Verhaltens des Sauer-Hellbrunn als Fahrzeugführer, nicht um ein Recht eines Dritten an der Sache.</w:t>
      </w:r>
    </w:p>
    <w:p>
      <w:pPr>
        <w:pStyle w:val="Heading3"/>
      </w:pPr>
      <w:r>
        <w:rPr>
          <w:rFonts w:ascii="Times New Roman" w:hAnsi="Times New Roman"/>
        </w:rPr>
        <w:t>5. Ergebnis der grammatikalischen Auslegung</w:t>
      </w:r>
    </w:p>
    <w:p>
      <w:pPr>
        <w:jc w:val="left"/>
      </w:pPr>
      <w:r>
        <w:t>Der Wortlaut des § 633 BGB spricht dafür, dass das Werk mangelfrei ist:</w:t>
      </w:r>
    </w:p>
    <w:p>
      <w:pPr>
        <w:pStyle w:val="ListBullet"/>
      </w:pPr>
      <w:r>
        <w:t>Vereinbarte Beschaffenheit wurde erfüllt</w:t>
      </w:r>
    </w:p>
    <w:p>
      <w:pPr>
        <w:pStyle w:val="ListBullet"/>
      </w:pPr>
      <w:r>
        <w:t>Technische Eignung für die vorausgesetzte Verwendung liegt vor</w:t>
      </w:r>
    </w:p>
    <w:p>
      <w:pPr>
        <w:pStyle w:val="ListBullet"/>
      </w:pPr>
      <w:r>
        <w:t>Kein Rechtsmangel</w:t>
      </w:r>
    </w:p>
    <w:p>
      <w:pPr>
        <w:jc w:val="left"/>
      </w:pPr>
      <w:r>
        <w:t>Die grammatikalische Auslegung liefert ein klares Zwischenergebnis zugunsten Tannenmoores.</w:t>
      </w:r>
    </w:p>
    <w:p>
      <w:pPr>
        <w:pStyle w:val="Heading2"/>
      </w:pPr>
      <w:r>
        <w:rPr>
          <w:rFonts w:ascii="Times New Roman" w:hAnsi="Times New Roman"/>
        </w:rPr>
        <w:t>II. Abgrenzung: Subjektiver vs. objektiver Fehlerbegriff</w:t>
      </w:r>
    </w:p>
    <w:p>
      <w:pPr>
        <w:jc w:val="left"/>
      </w:pPr>
      <w:r>
        <w:t>Nach der Schuldrechtsmodernisierung 2002 wurde ein primär subjektiver Mangelbegriff eingeführt: Erst wenn keine Beschaffenheitsvereinbarung vorliegt, kommt es auf die objektive Eignung an. Hier liegt eine Beschaffenheitsvereinbarung vor → subjektiver Maßstab.</w:t>
      </w:r>
    </w:p>
    <w:p>
      <w:pPr>
        <w:pStyle w:val="Heading2"/>
      </w:pPr>
      <w:r>
        <w:rPr>
          <w:rFonts w:ascii="Times New Roman" w:hAnsi="Times New Roman"/>
        </w:rPr>
        <w:t>III. Quellen</w:t>
      </w:r>
    </w:p>
    <w:p>
      <w:pPr>
        <w:pStyle w:val="ListBullet"/>
      </w:pPr>
      <w:r>
        <w:t>§ 633 BGB: https://dejure.org/gesetze/BGB/633.html</w:t>
      </w:r>
    </w:p>
    <w:p>
      <w:pPr>
        <w:pStyle w:val="ListBullet"/>
      </w:pPr>
      <w:r>
        <w:t>Begr. zum SchuldRModG 2001, BT-Drs. 14/6040: https://dserver.bundestag.de/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