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06 — Systematische Stellung des Werkvertragsrechts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Dr. Annegret Pohlmann</w:t>
      </w:r>
    </w:p>
    <w:p>
      <w:pPr>
        <w:jc w:val="left"/>
      </w:pPr>
      <w:r>
        <w:t>Datum: 20. Dezember 2025</w:t>
      </w:r>
    </w:p>
    <w:p>
      <w:pPr>
        <w:pStyle w:val="Heading2"/>
      </w:pPr>
      <w:r>
        <w:rPr>
          <w:rFonts w:ascii="Times New Roman" w:hAnsi="Times New Roman"/>
        </w:rPr>
        <w:t>I. Systematische Auslegung: Methode</w:t>
      </w:r>
    </w:p>
    <w:p>
      <w:pPr>
        <w:jc w:val="left"/>
      </w:pPr>
      <w:r>
        <w:t>Die systematische Auslegung fragt nach dem Bedeutungszusammenhang einer Norm im Gesamtgefüge des Gesetzes. Im BGB gilt das Prinzip der inneren Systematik: Besonderes Schuldrecht (§§ 433 ff. BGB) konkretisiert das Allgemeine Schuldrecht (§§ 241 ff. BGB); das Allgemeine Teil (§§ 1–240 BGB) enthält übergreifende Regelungen für alle Schuldverhältnisse.</w:t>
      </w:r>
    </w:p>
    <w:p>
      <w:pPr>
        <w:pStyle w:val="Heading2"/>
      </w:pPr>
      <w:r>
        <w:rPr>
          <w:rFonts w:ascii="Times New Roman" w:hAnsi="Times New Roman"/>
        </w:rPr>
        <w:t>II. § 134 BGB im System des BGB</w:t>
      </w:r>
    </w:p>
    <w:p>
      <w:pPr>
        <w:jc w:val="left"/>
      </w:pPr>
      <w:r>
        <w:t>§ 134 BGB steht im Allgemeinen Teil (§§ 104–185 BGB: Rechtsgeschäfte). Er gilt für alle Rechtsgeschäfte. Sein Anwendungsbereich ist denkbar weit; er enthält keine eigene Definition des „gesetzlichen Verbots".</w:t>
      </w:r>
    </w:p>
    <w:p>
      <w:pPr>
        <w:jc w:val="left"/>
      </w:pPr>
      <w:r>
        <w:t>Systematische Beobachtung: Das BGB kennt weitere Nichtigkeitsgründe (§ 138 BGB: Sittenwidrigkeit; §§ 119 ff.: Anfechtung). § 134 BGB ist gegenüber § 138 BGB subsidiär, wenn das gesetzliche Verbot zugleich den Tatbestand der Sittenwidrigkeit erfüllt (str.; h.M. Vorrang § 134 BGB). Für unsere Frage: § 134 BGB greift nur, wenn das Verbotsgesetz die Nichtigkeit anordnet oder sein Zweck die Nichtigkeit erfordert.</w:t>
      </w:r>
    </w:p>
    <w:p>
      <w:pPr>
        <w:pStyle w:val="Heading2"/>
      </w:pPr>
      <w:r>
        <w:rPr>
          <w:rFonts w:ascii="Times New Roman" w:hAnsi="Times New Roman"/>
        </w:rPr>
        <w:t>III. Werkvertragsrecht im System des BGB</w:t>
      </w:r>
    </w:p>
    <w:p>
      <w:pPr>
        <w:jc w:val="left"/>
      </w:pPr>
      <w:r>
        <w:t>§§ 631–650 BGB (Werkvertrag) stehen im Besonderen Schuldrecht. § 633 BGB (Sachmangel) ist eine Spezialnorm für die Leistungsstörung im Werkvertragsrecht. Systematisch vorrangig gegenüber den allgemeinen §§ 280 ff. BGB.</w:t>
      </w:r>
    </w:p>
    <w:p>
      <w:pPr>
        <w:jc w:val="left"/>
      </w:pPr>
      <w:r>
        <w:t>§ 134 BGB als Teil des Allgemeinen Teils geht dem Besonderen Schuldrecht vor; ein nichtiger Werkvertrag nach § 134 BGB löst die §§ 631 ff. BGB nicht aus.</w:t>
      </w:r>
    </w:p>
    <w:p>
      <w:pPr>
        <w:pStyle w:val="Heading2"/>
      </w:pPr>
      <w:r>
        <w:rPr>
          <w:rFonts w:ascii="Times New Roman" w:hAnsi="Times New Roman"/>
        </w:rPr>
        <w:t>IV. Systematik des § 23 StVO</w:t>
      </w:r>
    </w:p>
    <w:p>
      <w:pPr>
        <w:jc w:val="left"/>
      </w:pPr>
      <w:r>
        <w:t>§ 23 StVO steht im Verkehrsordnungsrecht. Es handelt sich um eine öffentlich-rechtliche Verbotsnorm. Die StVO enthält keine Regelung über die zivilrechtliche Wirkung von Verstößen. Die systematische Auslegung ergibt: Das Verkehrsordnungsrecht und das Zivilrecht sind getrennte Rechtskreise. Ein OWi-Verbot erzeugt nicht automatisch zivilrechtliche Nichtigkeitsfolgen.</w:t>
      </w:r>
    </w:p>
    <w:p>
      <w:pPr>
        <w:jc w:val="left"/>
      </w:pPr>
      <w:r>
        <w:t>Vergleich: § 1 SchwArbG verbietet Schwarzarbeit; der BGH (VII ZR 235/15) hat aus dem Zweck des Gesetzes (Bekämpfung von Steuerhinterziehung, Sozialbetrug) auf zivilrechtliche Nichtigkeit geschlossen. § 23 Abs. 1c StVO dient dagegen der Verkehrssicherheit; der Schutzbereich erfasst primär den Fahrzeugführer, nicht die Vertragsparteien eines Einbauvertrags.</w:t>
      </w:r>
    </w:p>
    <w:p>
      <w:pPr>
        <w:pStyle w:val="Heading2"/>
      </w:pPr>
      <w:r>
        <w:rPr>
          <w:rFonts w:ascii="Times New Roman" w:hAnsi="Times New Roman"/>
        </w:rPr>
        <w:t>V. Ergebnis der systematischen Auslegung</w:t>
      </w:r>
    </w:p>
    <w:p>
      <w:pPr>
        <w:jc w:val="left"/>
      </w:pPr>
      <w:r>
        <w:t>Die systematische Auslegung bestätigt die Tendenz aus der grammatikalischen Analyse: § 23 Abs. 1c StVO ist als einseitiges Verbotsgesetz zu qualifizieren, das zivilrechtliche Nichtigkeitsfolge nur für das Führen des Fahrzeugs mit aktiviertem Gerät auslöst, nicht aber für den privatrechtlichen Einbauvertrag.</w:t>
      </w:r>
    </w:p>
    <w:p>
      <w:pPr>
        <w:pStyle w:val="Heading2"/>
      </w:pPr>
      <w:r>
        <w:rPr>
          <w:rFonts w:ascii="Times New Roman" w:hAnsi="Times New Roman"/>
        </w:rPr>
        <w:t>VI. Quellen</w:t>
      </w:r>
    </w:p>
    <w:p>
      <w:pPr>
        <w:pStyle w:val="ListBullet"/>
      </w:pPr>
      <w:r>
        <w:t>§ 134 BGB: https://dejure.org/gesetze/BGB/134.html</w:t>
      </w:r>
    </w:p>
    <w:p>
      <w:pPr>
        <w:pStyle w:val="ListBullet"/>
      </w:pPr>
      <w:r>
        <w:t>§ 23 StVO: https://dejure.org/gesetze/StVO/23.html</w:t>
      </w:r>
    </w:p>
    <w:p>
      <w:pPr>
        <w:pStyle w:val="ListBullet"/>
      </w:pPr>
      <w:r>
        <w:t>BGH VII ZR 235/15: https://www.bundesgerichtshof.de/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