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07 — Historische Auslegung: Schuldrechtsmodernisierung 2002</w:t>
      </w:r>
    </w:p>
    <w:p>
      <w:pPr>
        <w:jc w:val="left"/>
      </w:pPr>
      <w:r>
        <w:t>Kanzleiaktenzeichen: MR-2026-0228</w:t>
      </w:r>
    </w:p>
    <w:p>
      <w:pPr>
        <w:jc w:val="left"/>
      </w:pPr>
      <w:r>
        <w:t>Verfasser: Tristan Wolfsbach (Student, unter Anleitung von Prof. Dr. Meckenheim)</w:t>
      </w:r>
    </w:p>
    <w:p>
      <w:pPr>
        <w:jc w:val="left"/>
      </w:pPr>
      <w:r>
        <w:t>Datum: 5. Januar 2026</w:t>
      </w:r>
    </w:p>
    <w:p>
      <w:pPr>
        <w:pStyle w:val="Heading2"/>
      </w:pPr>
      <w:r>
        <w:rPr>
          <w:rFonts w:ascii="Times New Roman" w:hAnsi="Times New Roman"/>
        </w:rPr>
        <w:t>I. Historische Auslegung: Methode</w:t>
      </w:r>
    </w:p>
    <w:p>
      <w:pPr>
        <w:jc w:val="left"/>
      </w:pPr>
      <w:r>
        <w:t>Die historische Auslegung (genetische Auslegung) fragt nach dem Willen des historischen Gesetzgebers. Erkenntnisquellen: Gesetzesbegründungen (BT-Drucksachen), Protokolle der Kommissionen, Reformdiskussionen.</w:t>
      </w:r>
    </w:p>
    <w:p>
      <w:pPr>
        <w:pStyle w:val="Heading2"/>
      </w:pPr>
      <w:r>
        <w:rPr>
          <w:rFonts w:ascii="Times New Roman" w:hAnsi="Times New Roman"/>
        </w:rPr>
        <w:t>II. Entstehungsgeschichte des § 134 BGB</w:t>
      </w:r>
    </w:p>
    <w:p>
      <w:pPr>
        <w:jc w:val="left"/>
      </w:pPr>
      <w:r>
        <w:t>§ 134 BGB geht auf das BGB von 1900 zurück. Die Norm lautet seit 1900 nahezu unverändert: „Ein Rechtsgeschäft, das gegen ein gesetzliches Verbot verstößt, ist nichtig, wenn sich nicht aus dem Gesetz ein anderes ergibt." Die Motive zum BGB (Bd. I, S. 210 ff.) betonen, dass die Nichtigkeitsfolge nicht automatisch gilt, sondern von Zweck und Schutzziel des Verbotsgesetzes abhängt.</w:t>
      </w:r>
    </w:p>
    <w:p>
      <w:pPr>
        <w:jc w:val="left"/>
      </w:pPr>
      <w:r>
        <w:t>Der historische Gesetzgeber 1900 wollte keine Automatik; er überließ es der Rechtsprechung, im Einzelfall aus dem Zweck des Verbotsgesetzes auf die zivilrechtliche Wirkung zu schließen.</w:t>
      </w:r>
    </w:p>
    <w:p>
      <w:pPr>
        <w:pStyle w:val="Heading2"/>
      </w:pPr>
      <w:r>
        <w:rPr>
          <w:rFonts w:ascii="Times New Roman" w:hAnsi="Times New Roman"/>
        </w:rPr>
        <w:t>III. Schuldrechtsmodernisierung 2002 und § 633 BGB</w:t>
      </w:r>
    </w:p>
    <w:p>
      <w:pPr>
        <w:jc w:val="left"/>
      </w:pPr>
      <w:r>
        <w:t>Das Gesetz zur Modernisierung des Schuldrechts (SchuldRModG) vom 26. November 2001 (BGBl. I S. 3138), in Kraft getreten 1. Januar 2002, hat das Werkvertragsrecht grundlegend reformiert. Zentrale Änderungen:</w:t>
      </w:r>
    </w:p>
    <w:p>
      <w:pPr>
        <w:pStyle w:val="ListBullet"/>
      </w:pPr>
      <w:r>
        <w:t>Einführung des subjektiven Mangelbegriffs (§ 633 Abs. 2 BGB n.F.): vorrangig vereinbarte Beschaffenheit</w:t>
      </w:r>
    </w:p>
    <w:p>
      <w:pPr>
        <w:pStyle w:val="ListBullet"/>
      </w:pPr>
      <w:r>
        <w:t>Angleichung an das UN-Kaufrecht (CISG)</w:t>
      </w:r>
    </w:p>
    <w:p>
      <w:pPr>
        <w:pStyle w:val="ListBullet"/>
      </w:pPr>
      <w:r>
        <w:t>Einheitlicher Fehlerbegriff für Kauf- und Werkvertrag</w:t>
      </w:r>
    </w:p>
    <w:p>
      <w:pPr>
        <w:jc w:val="left"/>
      </w:pPr>
      <w:r>
        <w:t>Historischer Wille des Gesetzgebers 2002 (BT-Drs. 14/6040, S. 261): Der Mangelbegriff soll primär auf die vertraglich vereinbarte Beschaffenheit abstellen. Eine Illegalität der Verwendung wurde im Gesetzgebungsverfahren nicht als Fall des Sachmangels behandelt. Die Materialien zeigen keinen Hinweis darauf, dass der Gesetzgeber 2002 rechtswidrige Verwendungszwecke als Mangelgrund einführen wollte.</w:t>
      </w:r>
    </w:p>
    <w:p>
      <w:pPr>
        <w:pStyle w:val="Heading2"/>
      </w:pPr>
      <w:r>
        <w:rPr>
          <w:rFonts w:ascii="Times New Roman" w:hAnsi="Times New Roman"/>
        </w:rPr>
        <w:t>IV. § 23 StVO: Entstehungsgeschichte</w:t>
      </w:r>
    </w:p>
    <w:p>
      <w:pPr>
        <w:jc w:val="left"/>
      </w:pPr>
      <w:r>
        <w:t>§ 23 Abs. 1c StVO wurde durch die 46. ÄndVO zur StVO (2014) eingeführt und später modifiziert. Die Begründung des Bundesrats und des Bundesministeriums für Verkehr betont die Verkehrssicherheit: Radarwarner sollen den Fahrzeugführer vor Kontrollen warnen und damit die generalpräventive Wirkung von Geschwindigkeitskontrollen unterlaufen. Das Verbot richtet sich an den Fahrzeugführer.</w:t>
      </w:r>
    </w:p>
    <w:p>
      <w:pPr>
        <w:jc w:val="left"/>
      </w:pPr>
      <w:r>
        <w:t>Kein Hinweis in den Materialien zu § 23 Abs. 1c StVO, dass der Verordnungsgeber zivilrechtliche Nichtigkeitsfolgen für Einbauverträge intendierte.</w:t>
      </w:r>
    </w:p>
    <w:p>
      <w:pPr>
        <w:pStyle w:val="Heading2"/>
      </w:pPr>
      <w:r>
        <w:rPr>
          <w:rFonts w:ascii="Times New Roman" w:hAnsi="Times New Roman"/>
        </w:rPr>
        <w:t>V. Ergebnis der historischen Auslegung</w:t>
      </w:r>
    </w:p>
    <w:p>
      <w:pPr>
        <w:jc w:val="left"/>
      </w:pPr>
      <w:r>
        <w:t>Sowohl der historische Gesetzgeber des BGB (§ 134 BGB, 1900) als auch der Reformgesetzgeber 2002 (§ 633 BGB) und der Verordnungsgeber zu § 23 Abs. 1c StVO sprechen gegen eine automatische Nichtigkeit des Einbauvertrags. Die historische Auslegung stärkt die These vom einseitigen Verbotsgesetz.</w:t>
      </w:r>
    </w:p>
    <w:p>
      <w:pPr>
        <w:pStyle w:val="Heading2"/>
      </w:pPr>
      <w:r>
        <w:rPr>
          <w:rFonts w:ascii="Times New Roman" w:hAnsi="Times New Roman"/>
        </w:rPr>
        <w:t>VI. Quellen</w:t>
      </w:r>
    </w:p>
    <w:p>
      <w:pPr>
        <w:pStyle w:val="ListBullet"/>
      </w:pPr>
      <w:r>
        <w:t>BT-Drs. 14/6040 (SchuldRModG): https://dserver.bundestag.de/btd/14/060/1406040.pdf</w:t>
      </w:r>
    </w:p>
    <w:p>
      <w:pPr>
        <w:pStyle w:val="ListBullet"/>
      </w:pPr>
      <w:r>
        <w:t>Motive zum BGB, Bd. I: Historische Quelle (Digitalisat Universitätsbibliothek)</w:t>
      </w:r>
    </w:p>
    <w:p>
      <w:pPr>
        <w:pStyle w:val="ListBullet"/>
      </w:pPr>
      <w:r>
        <w:t>§ 23 StVO, 46. ÄndVO: https://www.gesetze-im-internet.de/stvo_2013/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