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Teleologische Auslegung: Mangelschutz und Verbotszweck</w:t>
      </w:r>
    </w:p>
    <w:p>
      <w:pPr>
        <w:jc w:val="left"/>
      </w:pPr>
      <w:r>
        <w:t>Kanzleiaktenzeichen: MR-2026-0228</w:t>
      </w:r>
    </w:p>
    <w:p>
      <w:pPr>
        <w:jc w:val="left"/>
      </w:pPr>
      <w:r>
        <w:t>Verfasser: Prof. Dr. Henrietta Meckenheim (Universität Bonn)</w:t>
      </w:r>
    </w:p>
    <w:p>
      <w:pPr>
        <w:jc w:val="left"/>
      </w:pPr>
      <w:r>
        <w:t>Datum: 8. Januar 2026</w:t>
      </w:r>
    </w:p>
    <w:p>
      <w:pPr>
        <w:pStyle w:val="Heading2"/>
      </w:pPr>
      <w:r>
        <w:rPr>
          <w:rFonts w:ascii="Times New Roman" w:hAnsi="Times New Roman"/>
        </w:rPr>
        <w:t>I. Teleologische Auslegung: Methode</w:t>
      </w:r>
    </w:p>
    <w:p>
      <w:pPr>
        <w:jc w:val="left"/>
      </w:pPr>
      <w:r>
        <w:t>Die teleologische Auslegung fragt nach dem Sinn und Zweck (telos) der Norm. Sie ist nach heutiger Methodenlehre (Larenz/Canaris, Methodenlehre, 3. Aufl., S. 333 ff.) das stärkste Auslegungsmittel. Der Normzweck lässt sich ermitteln aus: Wortlaut, Systematik, Entstehungsgeschichte, aber auch aus der Wertungskonsistenz des Rechts.</w:t>
      </w:r>
    </w:p>
    <w:p>
      <w:pPr>
        <w:pStyle w:val="Heading2"/>
      </w:pPr>
      <w:r>
        <w:rPr>
          <w:rFonts w:ascii="Times New Roman" w:hAnsi="Times New Roman"/>
        </w:rPr>
        <w:t>II. Telos des § 134 BGB</w:t>
      </w:r>
    </w:p>
    <w:p>
      <w:pPr>
        <w:jc w:val="left"/>
      </w:pPr>
      <w:r>
        <w:t>Zweck: Sicherung der Wirksamkeit gesetzlicher Verbote durch zivilrechtliche Konsequenzen. ABER: § 134 BGB enthält eine eingebettete Relativierung („wenn sich nicht aus dem Gesetz ein anderes ergibt"). Das bedeutet: Die Nichtigkeitsfolge tritt nur ein, wenn der Zweck des Verbotsgesetzes es erfordert. Der BGH hat hierzu eine Fallgruppenkasuistik entwickelt:</w:t>
      </w:r>
    </w:p>
    <w:p>
      <w:pPr>
        <w:pStyle w:val="ListBullet"/>
      </w:pPr>
      <w:r>
        <w:t>Einseitiges Verbotsgesetz → kein Nichtigkeitsfolge (str.)</w:t>
      </w:r>
    </w:p>
    <w:p>
      <w:pPr>
        <w:pStyle w:val="ListBullet"/>
      </w:pPr>
      <w:r>
        <w:t>Beiderseitiges Verbotsgesetz → Nichtigkeit</w:t>
      </w:r>
    </w:p>
    <w:p>
      <w:pPr>
        <w:pStyle w:val="ListBullet"/>
      </w:pPr>
      <w:r>
        <w:t>Schutznormcharakter: schützt das Verbot gerade den benachteiligten Vertragsteil, kann Nichtigkeit zu dessen Lasten gehen</w:t>
      </w:r>
    </w:p>
    <w:p>
      <w:pPr>
        <w:pStyle w:val="Heading2"/>
      </w:pPr>
      <w:r>
        <w:rPr>
          <w:rFonts w:ascii="Times New Roman" w:hAnsi="Times New Roman"/>
        </w:rPr>
        <w:t>III. Telos des § 23 Abs. 1c StVO</w:t>
      </w:r>
    </w:p>
    <w:p>
      <w:pPr>
        <w:jc w:val="left"/>
      </w:pPr>
      <w:r>
        <w:t>Zweck: Schutz der Wirksamkeit von Verkehrsüberwachungsmaßnahmen. Geschützt werden soll die Allgemeinheit vor zu schnell fahrenden Fahrzeugführern; Radarwarner unterlaufen Geschwindigkeitskontrollen und gefährden damit mittelbar die Verkehrssicherheit.</w:t>
      </w:r>
    </w:p>
    <w:p>
      <w:pPr>
        <w:jc w:val="left"/>
      </w:pPr>
      <w:r>
        <w:t>Adressat: Der Fahrzeugführer. Das Verbot gilt für das Mitführen und Betreiben des Geräts im Fahrzeug. Der Einbaubetrieb (Tannenmoor) ist nicht Normadressat; er begeht keine Ordnungswidrigkeit durch den bloßen Einbau.</w:t>
      </w:r>
    </w:p>
    <w:p>
      <w:pPr>
        <w:pStyle w:val="Heading2"/>
      </w:pPr>
      <w:r>
        <w:rPr>
          <w:rFonts w:ascii="Times New Roman" w:hAnsi="Times New Roman"/>
        </w:rPr>
        <w:t>IV. Teleologische Auslegung des § 633 BGB: Mangelschutz</w:t>
      </w:r>
    </w:p>
    <w:p>
      <w:pPr>
        <w:jc w:val="left"/>
      </w:pPr>
      <w:r>
        <w:t>Zweck des § 633 BGB: Schutz des Bestellers vor einer schlechten Werkleistung. Das Werk soll die vereinbarte Qualität haben. Ein Werk ist mangelhaft, wenn es die berechtigten Leistungserwartungen des Bestellers enttäuscht. Hier: Das Gerät funktioniert technisch einwandfrei. Die Enttäuschung kommt nicht aus der Werkleistung, sondern aus dem eigenen Verhalten des Bestellers (illegaler Betrieb im Straßenverkehr). § 633 BGB soll den Besteller nicht vor den Folgen eigenen rechtswidrigen Verhaltens schützen.</w:t>
      </w:r>
    </w:p>
    <w:p>
      <w:pPr>
        <w:pStyle w:val="Heading2"/>
      </w:pPr>
      <w:r>
        <w:rPr>
          <w:rFonts w:ascii="Times New Roman" w:hAnsi="Times New Roman"/>
        </w:rPr>
        <w:t>V. Teleologische Auslegung der §§ 812, 817 BGB</w:t>
      </w:r>
    </w:p>
    <w:p>
      <w:pPr>
        <w:jc w:val="left"/>
      </w:pPr>
      <w:r>
        <w:t>Zweck des § 817 S. 2 BGB: „Nemo auditur propriam turpitudinem allegans" (Niemand soll aus eigenem sittenwidrigen Verhalten Vorteile ziehen). Wenn beide Parteien gegen ein Verbotsgesetz verstoßen haben, soll weder die eine noch die andere Partei kondizieren können.</w:t>
      </w:r>
    </w:p>
    <w:p>
      <w:pPr>
        <w:jc w:val="left"/>
      </w:pPr>
      <w:r>
        <w:t>Telos hier: Sauer-Hellbrunn hat das Gerät bestellt und betrieben; er ist der eigentliche Verbotsadressat. Tannenmoor hat zwar gewusst, dass das Gerät für den Straßenbetrieb bestimmt war; ob er damit selbst gegen ein Verbotsgesetz verstoßen hat, ist der eigentliche Streitpunkt.</w:t>
      </w:r>
    </w:p>
    <w:p>
      <w:pPr>
        <w:pStyle w:val="Heading2"/>
      </w:pPr>
      <w:r>
        <w:rPr>
          <w:rFonts w:ascii="Times New Roman" w:hAnsi="Times New Roman"/>
        </w:rPr>
        <w:t>VI. Ergebnis der teleologischen Auslegung</w:t>
      </w:r>
    </w:p>
    <w:p>
      <w:pPr>
        <w:jc w:val="left"/>
      </w:pPr>
      <w:r>
        <w:t>Die teleologische Analyse spricht dafür:</w:t>
      </w:r>
    </w:p>
    <w:p>
      <w:pPr>
        <w:pStyle w:val="ListNumber"/>
      </w:pPr>
      <w:r>
        <w:t>§ 23 Abs. 1c StVO ist ein einseitiges Verbotsgesetz; § 134 BGB bewirkt keine Nichtigkeit des Einbauvertrags.</w:t>
      </w:r>
    </w:p>
    <w:p>
      <w:pPr>
        <w:pStyle w:val="ListNumber"/>
      </w:pPr>
      <w:r>
        <w:t>§ 633 BGB schützt nicht vor Folgen eigenen rechtswidrigen Verhaltens des Bestellers.</w:t>
      </w:r>
    </w:p>
    <w:p>
      <w:pPr>
        <w:pStyle w:val="ListNumber"/>
      </w:pPr>
      <w:r>
        <w:t>§ 817 S. 2 BGB könnte eine Kondiktionssperre für beide Seiten bewirken — dies würde jedoch den gesetzestreuen Unternehmer (Tannenmoor) unbillig belasten. Teleologische Reduktion des § 817 S. 2 BGB erwägenswert.</w:t>
      </w:r>
    </w:p>
    <w:p>
      <w:pPr>
        <w:pStyle w:val="Heading2"/>
      </w:pPr>
      <w:r>
        <w:rPr>
          <w:rFonts w:ascii="Times New Roman" w:hAnsi="Times New Roman"/>
        </w:rPr>
        <w:t>VII. Quellen</w:t>
      </w:r>
    </w:p>
    <w:p>
      <w:pPr>
        <w:pStyle w:val="ListBullet"/>
      </w:pPr>
      <w:r>
        <w:t>Larenz/Canaris, Methodenlehre der Rechtswissenschaft, 3. Aufl. 1995, S. 333 ff.</w:t>
      </w:r>
    </w:p>
    <w:p>
      <w:pPr>
        <w:pStyle w:val="ListBullet"/>
      </w:pPr>
      <w:r>
        <w:t>§ 134, 812, 817 BGB: https://dejure.org/gesetze/BGB/</w:t>
      </w:r>
    </w:p>
    <w:p>
      <w:pPr>
        <w:pStyle w:val="ListBullet"/>
      </w:pPr>
      <w:r>
        <w:t>§ 23 StVO: https://dejure.org/gesetze/StVO/23.html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