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09 — Verfassungskonforme Auslegung: Art. 12 GG (Berufsfreiheit)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Prof. Dr. Henrietta Meckenheim (Universität Bonn)</w:t>
      </w:r>
    </w:p>
    <w:p>
      <w:pPr>
        <w:jc w:val="left"/>
      </w:pPr>
      <w:r>
        <w:t>Datum: 10. Januar 2026</w:t>
      </w:r>
    </w:p>
    <w:p>
      <w:pPr>
        <w:pStyle w:val="Heading2"/>
      </w:pPr>
      <w:r>
        <w:rPr>
          <w:rFonts w:ascii="Times New Roman" w:hAnsi="Times New Roman"/>
        </w:rPr>
        <w:t>I. Methode: Verfassungskonforme Auslegung</w:t>
      </w:r>
    </w:p>
    <w:p>
      <w:pPr>
        <w:jc w:val="left"/>
      </w:pPr>
      <w:r>
        <w:t>Die verfassungskonforme Auslegung ist eine besondere Form der teleologischen Auslegung. Ihre Prämisse: Wenn ein Gesetz in mehreren Interpretationsvarianten gelesen werden kann, von denen mindestens eine mit dem Grundgesetz vereinbar ist, ist dieser Interpretation der Vorzug zu geben (BVerfGE 2, 266, 282; st. Rspr.). Die Methode findet ihre Grenzen im Wortlaut und im eindeutigen Willen des Gesetzgebers.</w:t>
      </w:r>
    </w:p>
    <w:p>
      <w:pPr>
        <w:pStyle w:val="Heading2"/>
      </w:pPr>
      <w:r>
        <w:rPr>
          <w:rFonts w:ascii="Times New Roman" w:hAnsi="Times New Roman"/>
        </w:rPr>
        <w:t>II. Berufsfreiheit (Art. 12 Abs. 1 GG) des Lars Tannenmoor</w:t>
      </w:r>
    </w:p>
    <w:p>
      <w:pPr>
        <w:jc w:val="left"/>
      </w:pPr>
      <w:r>
        <w:t>Art. 12 Abs. 1 GG schützt die Freiheit, einen Beruf frei zu wählen und auszuüben. Tannenmoor übt als Kfz-Meister seinen Beruf aus; der Einbau von Sonderzubehör ist Teil seines gewerblichen Tätigkeitsbereichs. Ein staatlicher Eingriff — hier: die zivilrechtliche Nichtigkeit des Werkvertrags nach § 134 BGB — wäre ein Eingriff in Art. 12 Abs. 1 GG (Berufsausübungsregelung).</w:t>
      </w:r>
    </w:p>
    <w:p>
      <w:pPr>
        <w:jc w:val="left"/>
      </w:pPr>
      <w:r>
        <w:t>Verhältnismäßigkeit:</w:t>
      </w:r>
    </w:p>
    <w:p>
      <w:pPr>
        <w:pStyle w:val="ListBullet"/>
      </w:pPr>
      <w:r>
        <w:t>Legitimer Zweck: Schutz der Verkehrssicherheit (§ 23 Abs. 1c StVO)</w:t>
      </w:r>
    </w:p>
    <w:p>
      <w:pPr>
        <w:pStyle w:val="ListBullet"/>
      </w:pPr>
      <w:r>
        <w:t>Geeignetheit: Ja, Nichtigkeit schreckt ab</w:t>
      </w:r>
    </w:p>
    <w:p>
      <w:pPr>
        <w:pStyle w:val="ListBullet"/>
      </w:pPr>
      <w:r>
        <w:t>Erforderlichkeit: Zweifelhaft — das Ordnungswidrigkeitenrecht sanktioniert bereits den Betrieb des Geräts; die Ausweitung auf den Einbauvertrag ist nicht erforderlich</w:t>
      </w:r>
    </w:p>
    <w:p>
      <w:pPr>
        <w:pStyle w:val="ListBullet"/>
      </w:pPr>
      <w:r>
        <w:t>Angemessenheit: Eine Nichtigkeit trifft einseitig den handwerklichen Unternehmer, der das Gerät lediglich einbaut; unverhältnismäßig</w:t>
      </w:r>
    </w:p>
    <w:p>
      <w:pPr>
        <w:pStyle w:val="Heading2"/>
      </w:pPr>
      <w:r>
        <w:rPr>
          <w:rFonts w:ascii="Times New Roman" w:hAnsi="Times New Roman"/>
        </w:rPr>
        <w:t>III. Eigentumsgarantie (Art. 14 GG) des Tannenmoor</w:t>
      </w:r>
    </w:p>
    <w:p>
      <w:pPr>
        <w:jc w:val="left"/>
      </w:pPr>
      <w:r>
        <w:t>Tannenmoor hat den Werklohnanspruch als schuldrechtliches Forderungsrecht erworben. Die Verneinung dieses Anspruchs durch § 134 BGB wäre ein Eingriff in Art. 14 Abs. 1 GG. Auch hier ist Verhältnismäßigkeit zu prüfen.</w:t>
      </w:r>
    </w:p>
    <w:p>
      <w:pPr>
        <w:pStyle w:val="Heading2"/>
      </w:pPr>
      <w:r>
        <w:rPr>
          <w:rFonts w:ascii="Times New Roman" w:hAnsi="Times New Roman"/>
        </w:rPr>
        <w:t>IV. Verfassungsrechtliche Position des Sauer-Hellbrunn</w:t>
      </w:r>
    </w:p>
    <w:p>
      <w:pPr>
        <w:jc w:val="left"/>
      </w:pPr>
      <w:r>
        <w:t>Sauer-Hellbrunn kann sich nicht auf Vertragsfreiheit (Art. 2 Abs. 1 GG) berufen, um der Zahlung zu entgehen: Er hat die Vertragspflicht freiwillig eingegangen und das verbotswidrige Gerät bewusst betrieben.</w:t>
      </w:r>
    </w:p>
    <w:p>
      <w:pPr>
        <w:pStyle w:val="Heading2"/>
      </w:pPr>
      <w:r>
        <w:rPr>
          <w:rFonts w:ascii="Times New Roman" w:hAnsi="Times New Roman"/>
        </w:rPr>
        <w:t>V. Verfassungskonforme Auslegung des § 134 BGB i.V.m. § 23 Abs. 1c StVO</w:t>
      </w:r>
    </w:p>
    <w:p>
      <w:pPr>
        <w:jc w:val="left"/>
      </w:pPr>
      <w:r>
        <w:t>Ergebnis: § 134 BGB ist so auszulegen, dass er nur dann zur Nichtigkeit des Vertrags führt, wenn der Zweck des Verbotsgesetzes dies erfordert. Angesichts von Art. 12 GG und dem Charakter des § 23 Abs. 1c StVO als einseitigem Verbot ist eine Auslegung geboten, die den Werkvertrag als wirksam behandelt.</w:t>
      </w:r>
    </w:p>
    <w:p>
      <w:pPr>
        <w:jc w:val="left"/>
      </w:pPr>
      <w:r>
        <w:t>Dies entspricht auch der Rechtsprechungslinie des BVerfG zur Vertragsfreiheit (BVerfGE 89, 214 — Bürgschaft; 103, 89 — Handelsvertreter): Das BVerfG schützt strukturell unterlegene Vertragspartner; hier ist Tannenmoor (Handwerker) gegenüber dem die Verbotsnorm eigentlich treffenden Auftraggeber strukturell nicht schwächer.</w:t>
      </w:r>
    </w:p>
    <w:p>
      <w:pPr>
        <w:pStyle w:val="Heading2"/>
      </w:pPr>
      <w:r>
        <w:rPr>
          <w:rFonts w:ascii="Times New Roman" w:hAnsi="Times New Roman"/>
        </w:rPr>
        <w:t>VI. Ergebnis</w:t>
      </w:r>
    </w:p>
    <w:p>
      <w:pPr>
        <w:jc w:val="left"/>
      </w:pPr>
      <w:r>
        <w:t>Die verfassungskonforme Auslegung bestätigt: § 134 BGB i.V.m. § 23 Abs. 1c StVO führt nicht zur Nichtigkeit des Werkvertrags. Werkvertrag wirksam. Werklohnanspruch besteht.</w:t>
      </w:r>
    </w:p>
    <w:p>
      <w:pPr>
        <w:pStyle w:val="Heading2"/>
      </w:pPr>
      <w:r>
        <w:rPr>
          <w:rFonts w:ascii="Times New Roman" w:hAnsi="Times New Roman"/>
        </w:rPr>
        <w:t>VII. Quellen</w:t>
      </w:r>
    </w:p>
    <w:p>
      <w:pPr>
        <w:pStyle w:val="ListBullet"/>
      </w:pPr>
      <w:r>
        <w:t>Art. 12 GG: https://www.gesetze-im-internet.de/gg/art_12.html</w:t>
      </w:r>
    </w:p>
    <w:p>
      <w:pPr>
        <w:pStyle w:val="ListBullet"/>
      </w:pPr>
      <w:r>
        <w:t>BVerfGE 2, 266; 89, 214; 103, 89: https://www.bundesverfassungsgericht.de/</w:t>
      </w:r>
    </w:p>
    <w:p>
      <w:pPr>
        <w:pStyle w:val="ListBullet"/>
      </w:pPr>
      <w:r>
        <w:t>§ 134 BGB: https://dejure.org/gesetze/BGB/134.html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