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10 — Analogie: BGH VII ZR 235/15 (Schwarzarbeit) und Übertragbarkeit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RA Dr. Mark Roosendaal</w:t>
      </w:r>
    </w:p>
    <w:p>
      <w:pPr>
        <w:jc w:val="left"/>
      </w:pPr>
      <w:r>
        <w:t>Datum: 12. Januar 2026</w:t>
      </w:r>
    </w:p>
    <w:p>
      <w:pPr>
        <w:pStyle w:val="Heading2"/>
      </w:pPr>
      <w:r>
        <w:rPr>
          <w:rFonts w:ascii="Times New Roman" w:hAnsi="Times New Roman"/>
        </w:rPr>
        <w:t>I. Analogie als Methode</w:t>
      </w:r>
    </w:p>
    <w:p>
      <w:pPr>
        <w:jc w:val="left"/>
      </w:pPr>
      <w:r>
        <w:t>Die Analogie überträgt eine Rechtsnorm auf einen Sachverhalt, der von ihrem Wortlaut nicht erfasst ist, aber eine vergleichbare Interessenlage aufweist. Voraussetzungen (Larenz/Canaris, S. 381 ff.):</w:t>
      </w:r>
    </w:p>
    <w:p>
      <w:pPr>
        <w:pStyle w:val="ListNumber"/>
      </w:pPr>
      <w:r>
        <w:t>Planwidrige Regelungslücke</w:t>
      </w:r>
    </w:p>
    <w:p>
      <w:pPr>
        <w:pStyle w:val="ListNumber"/>
      </w:pPr>
      <w:r>
        <w:t>Vergleichbare Interessenlage (Gleichheitssatz, Art. 3 GG)</w:t>
      </w:r>
    </w:p>
    <w:p>
      <w:pPr>
        <w:jc w:val="left"/>
      </w:pPr>
      <w:r>
        <w:t>Hier geht es um die Frage, ob die BGH-Rechtsprechung zu § 134 BGB i.V.m. § 1 SchwArbG (Schwarzarbeit) auf unseren Fall (§ 134 BGB i.V.m. § 23 Abs. 1c StVO) analog angewendet werden kann.</w:t>
      </w:r>
    </w:p>
    <w:p>
      <w:pPr>
        <w:pStyle w:val="Heading2"/>
      </w:pPr>
      <w:r>
        <w:rPr>
          <w:rFonts w:ascii="Times New Roman" w:hAnsi="Times New Roman"/>
        </w:rPr>
        <w:t>II. BGH VII ZR 235/15 — Sachverhalt und Entscheidung</w:t>
      </w:r>
    </w:p>
    <w:p>
      <w:pPr>
        <w:jc w:val="left"/>
      </w:pPr>
      <w:r>
        <w:t>Der BGH hat mit Urteil vom 16. März 2017 (VII ZR 235/15, NJW 2017, 1600) entschieden: Ein Werkvertrag, bei dem beide Parteien vereinbaren, die Vergütung in bar ohne Rechnung und ohne Abführung von Steuern zu zahlen, ist nach § 134 BGB i.V.m. § 1 Abs. 2 Nr. 2 SchwArbG nichtig. Rechtsfolge: Kein Werklohnanspruch, kein Bereicherungsanspruch (§ 817 S. 2 BGB sperrt).</w:t>
      </w:r>
    </w:p>
    <w:p>
      <w:pPr>
        <w:jc w:val="left"/>
      </w:pPr>
      <w:r>
        <w:t>Begründung des BGH: § 1 SchwArbG ist ein beiderseitiges Verbotsgesetz — Auftraggeber und Auftragnehmer verstoßen beide gegen das Schwarzarbeitsverbot, wenn sie eine Steuerumgehungsabrede treffen. Die Nichtigkeit trifft beide Seiten mit Bedacht; sie soll die Rechtsdurchsetzung verweigern, um Schwarzarbeit zu bekämpfen.</w:t>
      </w:r>
    </w:p>
    <w:p>
      <w:pPr>
        <w:pStyle w:val="Heading2"/>
      </w:pPr>
      <w:r>
        <w:rPr>
          <w:rFonts w:ascii="Times New Roman" w:hAnsi="Times New Roman"/>
        </w:rPr>
        <w:t>III. Vergleichende Analyse: Schwarzarbeit vs. Radarwarner-Einbau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Schwarzarbeit (BGH VII ZR 235/15)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Radarwarner-Einbau (vorl. Fall)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Verbotsgesetz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 SchwArbG (beiderseitig)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 Abs. 1c StVO (einseitig)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Verbotsadressat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Auftraggeber UND Auftragnehmer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Fahrzeugführer (Auftraggeber)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Schutzzweck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Steuerehrlichkeit, Sozialbeiträge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Verkehrssicherheit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Arglist/Abrede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Steuerumgehungsvereinbarung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gemeinsamer Umgehungswille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Bereicherungsrecht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817 S. 2 BGB sperrt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817 S. 2 BGB fraglich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Ergebnis: Analogie nicht übertragbar</w:t>
      </w:r>
    </w:p>
    <w:p>
      <w:pPr>
        <w:jc w:val="left"/>
      </w:pPr>
      <w:r>
        <w:t>Die Analogie zu BGH VII ZR 235/15 scheitert an der unterschiedlichen Interessenlage:</w:t>
      </w:r>
    </w:p>
    <w:p>
      <w:pPr>
        <w:pStyle w:val="ListBullet"/>
      </w:pPr>
      <w:r>
        <w:t>§ 23 Abs. 1c StVO ist kein beiderseitiges Verbotsgesetz (kein gemeinsamer Umgehungswille notwendig)</w:t>
      </w:r>
    </w:p>
    <w:p>
      <w:pPr>
        <w:pStyle w:val="ListBullet"/>
      </w:pPr>
      <w:r>
        <w:t>Tannenmoor ist nicht Normadressat der StVO-Vorschrift</w:t>
      </w:r>
    </w:p>
    <w:p>
      <w:pPr>
        <w:pStyle w:val="ListBullet"/>
      </w:pPr>
      <w:r>
        <w:t>Der Schutzzweck des SchwArbG (Fiskalinteressen, Sozialversicherung) ist nicht vergleichbar mit § 23 Abs. 1c StVO (Verkehrssicherheit)</w:t>
      </w:r>
    </w:p>
    <w:p>
      <w:pPr>
        <w:jc w:val="left"/>
      </w:pPr>
      <w:r>
        <w:t>A maiore ad minus: Wenn der BGH die Nichtigkeit im Schwarzarbeit-Fall erst aus dem beiderseitigen Verbotscharakter des SchwArbG ableitet, kann bei einem einseitigen Verbot erst recht keine Nichtigkeit folgen.</w:t>
      </w:r>
    </w:p>
    <w:p>
      <w:pPr>
        <w:pStyle w:val="Heading2"/>
      </w:pPr>
      <w:r>
        <w:rPr>
          <w:rFonts w:ascii="Times New Roman" w:hAnsi="Times New Roman"/>
        </w:rPr>
        <w:t>V. Analoge Anwendung welcher BGH-Rechtsprechung?</w:t>
      </w:r>
    </w:p>
    <w:p>
      <w:pPr>
        <w:jc w:val="left"/>
      </w:pPr>
      <w:r>
        <w:t>Näher läge eine Orientierung an der BGH-Rspr. zu einseitigen Verbotsgesetzen (vgl. BGH NJW 2004, 3174: Wuchermiete; BGH NJW-RR 2012, 1117: einseitiges Verbot bleibt Partei erhalten). Dort gilt: Das Rechtsgeschäft bleibt wirksam; die verbotswidrig handelnde Partei kann sich nicht auf die Nichtigkeit berufen, um sich ihren Pflichten zu entziehen.</w:t>
      </w:r>
    </w:p>
    <w:p>
      <w:pPr>
        <w:pStyle w:val="Heading2"/>
      </w:pPr>
      <w:r>
        <w:rPr>
          <w:rFonts w:ascii="Times New Roman" w:hAnsi="Times New Roman"/>
        </w:rPr>
        <w:t>VI. Quellen</w:t>
      </w:r>
    </w:p>
    <w:p>
      <w:pPr>
        <w:pStyle w:val="ListBullet"/>
      </w:pPr>
      <w:r>
        <w:t>BGH VII ZR 235/15, NJW 2017, 1600: https://www.bundesgerichtshof.de/</w:t>
      </w:r>
    </w:p>
    <w:p>
      <w:pPr>
        <w:pStyle w:val="ListBullet"/>
      </w:pPr>
      <w:r>
        <w:t>§ 1 SchwArbG: https://dejure.org/gesetze/SchwarzArbG/1.html</w:t>
      </w:r>
    </w:p>
    <w:p>
      <w:pPr>
        <w:pStyle w:val="ListBullet"/>
      </w:pPr>
      <w:r>
        <w:t>§ 134 BGB: https://dejure.org/gesetze/BGB/134.html</w:t>
      </w:r>
    </w:p>
    <w:p>
      <w:pPr>
        <w:pStyle w:val="ListBullet"/>
      </w:pPr>
      <w:r>
        <w:t>Larenz/Canaris, Methodenlehre, 3. Aufl., S. 381 ff.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