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11 — Teleologische Reduktion bei gesetzwidrigen Zwecken</w:t>
      </w:r>
    </w:p>
    <w:p>
      <w:pPr>
        <w:jc w:val="left"/>
      </w:pPr>
      <w:r>
        <w:t>Kanzleiaktenzeichen: MR-2026-0228</w:t>
      </w:r>
    </w:p>
    <w:p>
      <w:pPr>
        <w:jc w:val="left"/>
      </w:pPr>
      <w:r>
        <w:t>Verfasser: Prof. Dr. Henrietta Meckenheim (Universität Bonn)</w:t>
      </w:r>
    </w:p>
    <w:p>
      <w:pPr>
        <w:jc w:val="left"/>
      </w:pPr>
      <w:r>
        <w:t>Datum: 15. Januar 2026</w:t>
      </w:r>
    </w:p>
    <w:p>
      <w:pPr>
        <w:pStyle w:val="Heading2"/>
      </w:pPr>
      <w:r>
        <w:rPr>
          <w:rFonts w:ascii="Times New Roman" w:hAnsi="Times New Roman"/>
        </w:rPr>
        <w:t>I. Teleologische Reduktion: Methode</w:t>
      </w:r>
    </w:p>
    <w:p>
      <w:pPr>
        <w:jc w:val="left"/>
      </w:pPr>
      <w:r>
        <w:t>Die teleologische Reduktion ist das Gegenstück zur Analogie: Sie schränkt den zu weiten Wortlaut einer Norm ein, wenn deren Anwendung auf bestimmte Fallgruppen dem Normzweck widersprechen würde. Voraussetzungen (Larenz/Canaris, S. 391 ff.):</w:t>
      </w:r>
    </w:p>
    <w:p>
      <w:pPr>
        <w:pStyle w:val="ListNumber"/>
      </w:pPr>
      <w:r>
        <w:t>Der Wortlaut erfasst einen Sachverhalt</w:t>
      </w:r>
    </w:p>
    <w:p>
      <w:pPr>
        <w:pStyle w:val="ListNumber"/>
      </w:pPr>
      <w:r>
        <w:t>Dessen Einbeziehung widerspricht dem Normzweck oder der Wertungskonsistenz</w:t>
      </w:r>
    </w:p>
    <w:p>
      <w:pPr>
        <w:pStyle w:val="ListNumber"/>
      </w:pPr>
      <w:r>
        <w:t>Planwidrige Überschreitung des Regelungsbereichs</w:t>
      </w:r>
    </w:p>
    <w:p>
      <w:pPr>
        <w:pStyle w:val="Heading2"/>
      </w:pPr>
      <w:r>
        <w:rPr>
          <w:rFonts w:ascii="Times New Roman" w:hAnsi="Times New Roman"/>
        </w:rPr>
        <w:t>II. Teleologische Reduktion des § 134 BGB</w:t>
      </w:r>
    </w:p>
    <w:p>
      <w:pPr>
        <w:jc w:val="left"/>
      </w:pPr>
      <w:r>
        <w:t>Der Wortlaut des § 134 BGB erfasst jedes Rechtsgeschäft, das gegen ein gesetzliches Verbot verstößt. Jedoch: Die teleologische Reduktion verlangt, dass die Nichtigkeitsfolge nur dann eintritt, wenn der Zweck des Verbotsgesetzes es erfordert.</w:t>
      </w:r>
    </w:p>
    <w:p>
      <w:pPr>
        <w:jc w:val="left"/>
      </w:pPr>
      <w:r>
        <w:t>Auf unseren Fall angewendet: § 23 Abs. 1c StVO verbietet das Mitführen und Betreiben eines Radarwarners im fahrenden Fahrzeug. Der Einbauvertrag als solcher wird nicht verboten. Würde § 134 BGB dennoch angewendet, käme dies einer unzulässigen Ausdehnung des Verbotstatbestands gleich. Teleologische Reduktion des § 134 BGB: Er gilt nicht, wenn das Verbotsgesetz den schuldrechtlichen Vertrag nicht erfasst.</w:t>
      </w:r>
    </w:p>
    <w:p>
      <w:pPr>
        <w:pStyle w:val="Heading2"/>
      </w:pPr>
      <w:r>
        <w:rPr>
          <w:rFonts w:ascii="Times New Roman" w:hAnsi="Times New Roman"/>
        </w:rPr>
        <w:t>III. Teleologische Reduktion des § 817 S. 2 BGB</w:t>
      </w:r>
    </w:p>
    <w:p>
      <w:pPr>
        <w:jc w:val="left"/>
      </w:pPr>
      <w:r>
        <w:t>§ 817 S. 2 BGB lautet: „Die Rückforderung ist ausgeschlossen, wenn dem Leistenden gleichfalls ein solcher Verstoß zur Last fällt."</w:t>
      </w:r>
    </w:p>
    <w:p>
      <w:pPr>
        <w:jc w:val="left"/>
      </w:pPr>
      <w:r>
        <w:t>Wortlaut: erfasst den Fall, dass beide Parteien gegen ein Verbotsgesetz verstoßen. Im vorliegenden Fall: Hat Tannenmoor gegen ein Verbotsgesetz verstoßen? § 23 Abs. 1c StVO richtet sich an den Fahrzeugführer, nicht an den Einbauer. Tannenmoor ist kein Normadressat.</w:t>
      </w:r>
    </w:p>
    <w:p>
      <w:pPr>
        <w:jc w:val="left"/>
      </w:pPr>
      <w:r>
        <w:t>Aber: Tannenmoor wusste von der beabsichtigten illegalen Nutzung. Ist das ausreichend für § 817 S. 2 BGB?</w:t>
      </w:r>
    </w:p>
    <w:p>
      <w:pPr>
        <w:jc w:val="left"/>
      </w:pPr>
      <w:r>
        <w:t>BGH-Linie (vgl. BGH NJW 2014, 3708 — Schwarzarbeit): Wissen allein reicht nicht; der Leistende muss selbst gegen ein Verbotsgesetz verstoßen haben. Da Tannenmoor kein Normadressat ist, liegt kein beiderseitiger Verstoß vor.</w:t>
      </w:r>
    </w:p>
    <w:p>
      <w:pPr>
        <w:jc w:val="left"/>
      </w:pPr>
      <w:r>
        <w:t>Teleologische Reduktion des § 817 S. 2 BGB: Die Norm ist einschränkend auszulegen; sie soll nur greifen bei echtem beiderseitigem Verbotsverstoß, nicht wenn nur eine Partei den Normverstoß begeht.</w:t>
      </w:r>
    </w:p>
    <w:p>
      <w:pPr>
        <w:pStyle w:val="Heading2"/>
      </w:pPr>
      <w:r>
        <w:rPr>
          <w:rFonts w:ascii="Times New Roman" w:hAnsi="Times New Roman"/>
        </w:rPr>
        <w:t>IV. Ergebnis</w:t>
      </w:r>
    </w:p>
    <w:p>
      <w:pPr>
        <w:jc w:val="left"/>
      </w:pPr>
      <w:r>
        <w:t>Teleologische Reduktion führt zu:</w:t>
      </w:r>
    </w:p>
    <w:p>
      <w:pPr>
        <w:pStyle w:val="ListBullet"/>
      </w:pPr>
      <w:r>
        <w:t>§ 134 BGB: nicht anwendbar auf den Einbauvertrag (Verbot erfasst nur Fahrzeugführer)</w:t>
      </w:r>
    </w:p>
    <w:p>
      <w:pPr>
        <w:pStyle w:val="ListBullet"/>
      </w:pPr>
      <w:r>
        <w:t>§ 817 S. 2 BGB: nicht anwendbar (kein beiderseitiger Verbotsverstoß)</w:t>
      </w:r>
    </w:p>
    <w:p>
      <w:pPr>
        <w:jc w:val="left"/>
      </w:pPr>
      <w:r>
        <w:t>Rechtsfolge: Werkvertrag wirksam; hilfsweise Bereicherungsanspruch ungesperrt.</w:t>
      </w:r>
    </w:p>
    <w:p>
      <w:pPr>
        <w:pStyle w:val="Heading2"/>
      </w:pPr>
      <w:r>
        <w:rPr>
          <w:rFonts w:ascii="Times New Roman" w:hAnsi="Times New Roman"/>
        </w:rPr>
        <w:t>V. Quellen</w:t>
      </w:r>
    </w:p>
    <w:p>
      <w:pPr>
        <w:pStyle w:val="ListBullet"/>
      </w:pPr>
      <w:r>
        <w:t>§ 134, 817 BGB: https://dejure.org/gesetze/BGB/</w:t>
      </w:r>
    </w:p>
    <w:p>
      <w:pPr>
        <w:pStyle w:val="ListBullet"/>
      </w:pPr>
      <w:r>
        <w:t>Larenz/Canaris, Methodenlehre, 3. Aufl., S. 391 ff.</w:t>
      </w:r>
    </w:p>
    <w:p>
      <w:pPr>
        <w:pStyle w:val="ListBullet"/>
      </w:pPr>
      <w:r>
        <w:t>BGH NJW 2014, 3708: https://www.bundesgerichtshof.de/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