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13 — Konkurrenzlehre: Werk- und Deliktsrecht</w:t>
      </w:r>
    </w:p>
    <w:p>
      <w:pPr>
        <w:jc w:val="left"/>
      </w:pPr>
      <w:r>
        <w:t>Kanzleiaktenzeichen: MR-2026-0228</w:t>
      </w:r>
    </w:p>
    <w:p>
      <w:pPr>
        <w:jc w:val="left"/>
      </w:pPr>
      <w:r>
        <w:t>Verfasser: Dr. Annegret Pohlmann</w:t>
      </w:r>
    </w:p>
    <w:p>
      <w:pPr>
        <w:jc w:val="left"/>
      </w:pPr>
      <w:r>
        <w:t>Datum: 20. Januar 2026</w:t>
      </w:r>
    </w:p>
    <w:p>
      <w:pPr>
        <w:pStyle w:val="Heading2"/>
      </w:pPr>
      <w:r>
        <w:rPr>
          <w:rFonts w:ascii="Times New Roman" w:hAnsi="Times New Roman"/>
        </w:rPr>
        <w:t>I. Konkurrenzverhältnis im BGB: Allgemeines</w:t>
      </w:r>
    </w:p>
    <w:p>
      <w:pPr>
        <w:jc w:val="left"/>
      </w:pPr>
      <w:r>
        <w:t>Das BGB kennt keine ausdrückliche Kollisionsregel für das Zusammentreffen von Vertragsrecht und Deliktsrecht. Die h.M. geht von einer grundsätzlichen Anspruchskonkurrenz (Anspruchsgrundlagenkonkurrenz) aus: Beide Ansprüche stehen selbständig nebeneinander; der Gläubiger kann aus beiden wählen (BGH NJW 1968, 1279).</w:t>
      </w:r>
    </w:p>
    <w:p>
      <w:pPr>
        <w:jc w:val="left"/>
      </w:pPr>
      <w:r>
        <w:t>Ausnahme: Vertragliche Haftungsausschlüsse können deliktische Ansprüche einschränken, wenn Vertrag und Delikt denselben Schutzbereich betreffen.</w:t>
      </w:r>
    </w:p>
    <w:p>
      <w:pPr>
        <w:pStyle w:val="Heading2"/>
      </w:pPr>
      <w:r>
        <w:rPr>
          <w:rFonts w:ascii="Times New Roman" w:hAnsi="Times New Roman"/>
        </w:rPr>
        <w:t>II. Spezifisches Konkurrenzverhältnis im Fall Tannenmoor</w:t>
      </w:r>
    </w:p>
    <w:p>
      <w:pPr>
        <w:pStyle w:val="Heading3"/>
      </w:pPr>
      <w:r>
        <w:rPr>
          <w:rFonts w:ascii="Times New Roman" w:hAnsi="Times New Roman"/>
        </w:rPr>
        <w:t>1. Werkvertragsrechtliche Ansprüche (§§ 631 ff. BGB)</w:t>
      </w:r>
    </w:p>
    <w:p>
      <w:pPr>
        <w:pStyle w:val="ListBullet"/>
      </w:pPr>
      <w:r>
        <w:t>Werklohn: § 631 Abs. 1 BGB (Tannenmoor ./. Sauer-Hellbrunn)</w:t>
      </w:r>
    </w:p>
    <w:p>
      <w:pPr>
        <w:pStyle w:val="ListBullet"/>
      </w:pPr>
      <w:r>
        <w:t>Gewährleistung: § 634 ff. BGB (Mängelrechte Sauer-Hellbruns)</w:t>
      </w:r>
    </w:p>
    <w:p>
      <w:pPr>
        <w:pStyle w:val="ListBullet"/>
      </w:pPr>
      <w:r>
        <w:t>Schadenersatz wegen Schlechtleistung: § 280 Abs. 1 BGB i.V.m. § 634 Nr. 4 BGB</w:t>
      </w:r>
    </w:p>
    <w:p>
      <w:pPr>
        <w:pStyle w:val="Heading3"/>
      </w:pPr>
      <w:r>
        <w:rPr>
          <w:rFonts w:ascii="Times New Roman" w:hAnsi="Times New Roman"/>
        </w:rPr>
        <w:t>2. Deliktische Ansprüche</w:t>
      </w:r>
    </w:p>
    <w:p>
      <w:pPr>
        <w:jc w:val="left"/>
      </w:pPr>
      <w:r>
        <w:t>Sauer-Hellbrunn könnte geltend machen:</w:t>
      </w:r>
    </w:p>
    <w:p>
      <w:pPr>
        <w:pStyle w:val="ListBullet"/>
      </w:pPr>
      <w:r>
        <w:t>§ 823 Abs. 1 BGB: Verletzung des Eigentums am Fahrzeug oder dem Gerät? — Nein, Tannenmoor hat nicht in das Eigentum eingegriffen; er hat vertragsgemäß gehandelt.</w:t>
      </w:r>
    </w:p>
    <w:p>
      <w:pPr>
        <w:pStyle w:val="ListBullet"/>
      </w:pPr>
      <w:r>
        <w:t>§ 823 Abs. 2 BGB i.V.m. § 23 Abs. 1c StVO: § 23 Abs. 1c StVO als Schutzgesetz zugunsten Sauer-Hellbruns? — Nein; die Norm schützt nicht Sauer-Hellbrunn (Fahrzeugführer) vor Tannenmoor (Einbauer), sondern schützt die Allgemeinheit vor dem Fahrzeugführer.</w:t>
      </w:r>
    </w:p>
    <w:p>
      <w:pPr>
        <w:pStyle w:val="ListBullet"/>
      </w:pPr>
      <w:r>
        <w:t>§ 826 BGB: Vorsätzliche sittenwidrige Schädigung? — Keine Hinweise auf Schädigungsvorsatz.</w:t>
      </w:r>
    </w:p>
    <w:p>
      <w:pPr>
        <w:pStyle w:val="Heading3"/>
      </w:pPr>
      <w:r>
        <w:rPr>
          <w:rFonts w:ascii="Times New Roman" w:hAnsi="Times New Roman"/>
        </w:rPr>
        <w:t>3. Ergebnis der Konkurrenzprüfung</w:t>
      </w:r>
    </w:p>
    <w:p>
      <w:pPr>
        <w:jc w:val="left"/>
      </w:pPr>
      <w:r>
        <w:t>Mangels deliktischer Ansprüche Sauer-Hellbruns gegen Tannenmoor entsteht kein echtes Konkurrenzproblem. Das Werkvertragsrecht ist der einschlägige Haftungsrahmen.</w:t>
      </w:r>
    </w:p>
    <w:p>
      <w:pPr>
        <w:pStyle w:val="Heading2"/>
      </w:pPr>
      <w:r>
        <w:rPr>
          <w:rFonts w:ascii="Times New Roman" w:hAnsi="Times New Roman"/>
        </w:rPr>
        <w:t>III. Konkurrenz Werkvertragsrecht / Bereicherungsrecht</w:t>
      </w:r>
    </w:p>
    <w:p>
      <w:pPr>
        <w:jc w:val="left"/>
      </w:pPr>
      <w:r>
        <w:t>Wenn der Werkvertrag nach § 134 BGB nichtig wäre (was hier abgelehnt wird), würden die §§ 812 ff. BGB als Anspruchsgrundlagen in Betracht kommen. Die §§ 631 ff. BGB würden durch die Nichtigkeit verdrängt; das Bereicherungsrecht tritt an ihre Stelle (subsidiär, aber nicht verdrängt).</w:t>
      </w:r>
    </w:p>
    <w:p>
      <w:pPr>
        <w:jc w:val="left"/>
      </w:pPr>
      <w:r>
        <w:t>§ 817 S. 2 BGB als Sperrwirkung: Nur wenn beide Parteien gegen ein Verbotsgesetz verstoßen (beiderseitiger Verstoß). Im vorliegenden Fall: Abgelehnt (s. Aktenstück 11).</w:t>
      </w:r>
    </w:p>
    <w:p>
      <w:pPr>
        <w:pStyle w:val="Heading2"/>
      </w:pPr>
      <w:r>
        <w:rPr>
          <w:rFonts w:ascii="Times New Roman" w:hAnsi="Times New Roman"/>
        </w:rPr>
        <w:t>IV. Quellen</w:t>
      </w:r>
    </w:p>
    <w:p>
      <w:pPr>
        <w:pStyle w:val="ListBullet"/>
      </w:pPr>
      <w:r>
        <w:t>§§ 631, 812, 817, 823 BGB: https://dejure.org/gesetze/BGB/</w:t>
      </w:r>
    </w:p>
    <w:p>
      <w:pPr>
        <w:pStyle w:val="ListBullet"/>
      </w:pPr>
      <w:r>
        <w:t>BGH NJW 1968, 1279 (Anspruchskonkurrenz): Klassische Entscheidung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