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14 — BGH-Rechtsprechungsanalyse: VII. Zivilsenat zum Werkvertrag</w:t>
      </w:r>
    </w:p>
    <w:p>
      <w:pPr>
        <w:jc w:val="left"/>
      </w:pPr>
      <w:r>
        <w:t>Kanzleiaktenzeichen: MR-2026-0228</w:t>
      </w:r>
    </w:p>
    <w:p>
      <w:pPr>
        <w:jc w:val="left"/>
      </w:pPr>
      <w:r>
        <w:t>Verfasser: RA Dr. Mark Roosendaal / Dr. Annegret Pohlmann</w:t>
      </w:r>
    </w:p>
    <w:p>
      <w:pPr>
        <w:jc w:val="left"/>
      </w:pPr>
      <w:r>
        <w:t>Datum: 22. Januar 2026</w:t>
      </w:r>
    </w:p>
    <w:p>
      <w:pPr>
        <w:pStyle w:val="Heading2"/>
      </w:pPr>
      <w:r>
        <w:rPr>
          <w:rFonts w:ascii="Times New Roman" w:hAnsi="Times New Roman"/>
        </w:rPr>
        <w:t>I. BGH VII. Zivilsenat: Überblick</w:t>
      </w:r>
    </w:p>
    <w:p>
      <w:pPr>
        <w:jc w:val="left"/>
      </w:pPr>
      <w:r>
        <w:t>Der VII. Zivilsenat des BGH ist zuständig für Werkvertrags- und Bauvertragsrecht (§§ 631 ff. BGB, VOB/B). Er hat in den letzten Jahren wesentliche Grundsatzentscheidungen zur Abgrenzung von § 134 BGB und § 817 S. 2 BGB im Werkvertragsrecht getroffen.</w:t>
      </w:r>
    </w:p>
    <w:p>
      <w:pPr>
        <w:pStyle w:val="Heading2"/>
      </w:pPr>
      <w:r>
        <w:rPr>
          <w:rFonts w:ascii="Times New Roman" w:hAnsi="Times New Roman"/>
        </w:rPr>
        <w:t>II. Leitentscheidung BGH VII ZR 235/15 (16. März 2017)</w:t>
      </w:r>
    </w:p>
    <w:p>
      <w:pPr>
        <w:jc w:val="left"/>
      </w:pPr>
      <w:r>
        <w:t>NJW 2017, 1600; BauR 2017, 1024; ZIP 2017, 670</w:t>
      </w:r>
    </w:p>
    <w:p>
      <w:pPr>
        <w:jc w:val="left"/>
      </w:pPr>
      <w:r>
        <w:t>Sachverhalt: Handwerker und Auftraggeber vereinbaren die Erbringung von Dachdeckerarbeiten auf Schwarzarbeitsbasis (kein Rechnung, kein Steuerabzug). Nach Ausführung weigert sich der Auftraggeber zu zahlen und macht Mängelgewährleistungsansprüche geltend.</w:t>
      </w:r>
    </w:p>
    <w:p>
      <w:pPr>
        <w:jc w:val="left"/>
      </w:pPr>
      <w:r>
        <w:t>Entscheidung: Kein Werklohnanspruch; kein Bereicherungsanspruch; kein Mängelgewährleistungsanspruch. § 134 BGB i.V.m. § 1 Abs. 2 Nr. 2 SchwArbG führt zur Gesamtnichtigkeit des Vertrags; § 817 S. 2 BGB sperrt Kondiktionsansprüche beider Seiten.</w:t>
      </w:r>
    </w:p>
    <w:p>
      <w:pPr>
        <w:jc w:val="left"/>
      </w:pPr>
      <w:r>
        <w:t>Begründung: § 1 SchwArbG ist beiderseitiges Verbotsgesetz; beide Parteien kennen und wollen den Verbotsverstoß; eine Durchsetzung würde dem Gesetzeszweck widersprechen.</w:t>
      </w:r>
    </w:p>
    <w:p>
      <w:pPr>
        <w:pStyle w:val="Heading2"/>
      </w:pPr>
      <w:r>
        <w:rPr>
          <w:rFonts w:ascii="Times New Roman" w:hAnsi="Times New Roman"/>
        </w:rPr>
        <w:t>III. Weitere relevante BGH-Entscheidungen (VII. ZS)</w:t>
      </w:r>
    </w:p>
    <w:p>
      <w:pPr>
        <w:jc w:val="left"/>
      </w:pPr>
      <w:r>
        <w:rPr>
          <w:b/>
        </w:rPr>
        <w:t>BGH VII ZR 241/13 (NJW 2014, 3718):</w:t>
      </w:r>
      <w:r>
        <w:t xml:space="preserve"> Schwarzarbeit; Bestätigung der Nichtigkeit; Ablehnung von Treu und Glauben als Korrektiv.</w:t>
      </w:r>
    </w:p>
    <w:p>
      <w:pPr>
        <w:jc w:val="left"/>
      </w:pPr>
      <w:r>
        <w:rPr>
          <w:b/>
        </w:rPr>
        <w:t>BGH VII ZR 280/14 (NJW 2015, 1669):</w:t>
      </w:r>
      <w:r>
        <w:t xml:space="preserve"> Schwarzarbeit; § 817 S. 2 BGB sperrt auch Bereicherungsanspruch des Unternehmers.</w:t>
      </w:r>
    </w:p>
    <w:p>
      <w:pPr>
        <w:jc w:val="left"/>
      </w:pPr>
      <w:r>
        <w:rPr>
          <w:b/>
        </w:rPr>
        <w:t>BGH VII ZR 46/17 (NJW 2018, 536):</w:t>
      </w:r>
      <w:r>
        <w:t xml:space="preserve"> Werkvertrag; kein Schwarzarbeitsverstoß wenn nur eine Seite gegen Steuerrecht verstößt (Differenzierung einseitig/beiderseitig).</w:t>
      </w:r>
    </w:p>
    <w:p>
      <w:pPr>
        <w:jc w:val="left"/>
      </w:pPr>
      <w:r>
        <w:rPr>
          <w:b/>
        </w:rPr>
        <w:t>BGH VII ZR 151/22 (NJW 2023, 1024):</w:t>
      </w:r>
      <w:r>
        <w:t xml:space="preserve"> Abgrenzung Werkvertrag/Dienstvertrag; Schwerpunkttheorie.</w:t>
      </w:r>
    </w:p>
    <w:p>
      <w:pPr>
        <w:pStyle w:val="Heading2"/>
      </w:pPr>
      <w:r>
        <w:rPr>
          <w:rFonts w:ascii="Times New Roman" w:hAnsi="Times New Roman"/>
        </w:rPr>
        <w:t>IV. Übertragbarkeit auf den Fall Tannenmoor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Aspekt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Schwarzarbeit (BGH VII ZR 235/15)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Radarwarner-Einbau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Verbotsgesetz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 SchwArbG — beiderseitig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23 Abs. 1c StVO — einseitig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Verbotskenntnis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Beide Parteien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Auftraggeber; Einbauer weiß von Verwendungszweck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Schutzzweck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Steuer/Sozialrecht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Verkehrssicherheit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Ergebnis § 134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Nichtigkeit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Ergebnis § 817 S.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Sperrt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Sperrt nicht</w:t>
            </w:r>
          </w:p>
        </w:tc>
      </w:tr>
    </w:tbl>
    <w:p>
      <w:pPr>
        <w:jc w:val="left"/>
      </w:pPr>
      <w:r>
        <w:t>Die BGH-Linie unterstützt durch Umkehrschluss (a contrario) die Wirksamkeit des Werkvertrags Tannenmoor/Sauer-Hellbrunn.</w:t>
      </w:r>
    </w:p>
    <w:p>
      <w:pPr>
        <w:pStyle w:val="Heading2"/>
      </w:pPr>
      <w:r>
        <w:rPr>
          <w:rFonts w:ascii="Times New Roman" w:hAnsi="Times New Roman"/>
        </w:rPr>
        <w:t>V. Quellen</w:t>
      </w:r>
    </w:p>
    <w:p>
      <w:pPr>
        <w:pStyle w:val="ListBullet"/>
      </w:pPr>
      <w:r>
        <w:t>BGH VII ZR 235/15: https://www.bundesgerichtshof.de/</w:t>
      </w:r>
    </w:p>
    <w:p>
      <w:pPr>
        <w:pStyle w:val="ListBullet"/>
      </w:pPr>
      <w:r>
        <w:t>BGH VII ZR 241/13: https://www.bundesgerichtshof.de/</w:t>
      </w:r>
    </w:p>
    <w:p>
      <w:pPr>
        <w:pStyle w:val="ListBullet"/>
      </w:pPr>
      <w:r>
        <w:t>BGH VII ZR 46/17: https://www.bundesgerichtshof.de/</w:t>
      </w:r>
    </w:p>
    <w:p>
      <w:pPr>
        <w:pStyle w:val="ListBullet"/>
      </w:pPr>
      <w:r>
        <w:t>openjur.de Volltext: https://openjur.de/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