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BVerfG-Rechtsprechungslinie: Vertragsfreiheit und Art. 12 GG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Prof. Dr. Henrietta Meckenheim</w:t>
      </w:r>
    </w:p>
    <w:p>
      <w:pPr>
        <w:jc w:val="left"/>
      </w:pPr>
      <w:r>
        <w:t>Datum: 24. Januar 2026</w:t>
      </w:r>
    </w:p>
    <w:p>
      <w:pPr>
        <w:pStyle w:val="Heading2"/>
      </w:pPr>
      <w:r>
        <w:rPr>
          <w:rFonts w:ascii="Times New Roman" w:hAnsi="Times New Roman"/>
        </w:rPr>
        <w:t>I. BVerfG und Privatrechtsgesellschaft</w:t>
      </w:r>
    </w:p>
    <w:p>
      <w:pPr>
        <w:jc w:val="left"/>
      </w:pPr>
      <w:r>
        <w:t>Das BVerfG hat in ständiger Rechtsprechung betont, dass die Privatrechtsordnung an die Grundrechte gebunden ist (mittelbare Drittwirkung, BVerfGE 7, 198 — Lüth). Im Vertragsrecht schützt das GG:</w:t>
      </w:r>
    </w:p>
    <w:p>
      <w:pPr>
        <w:pStyle w:val="ListBullet"/>
      </w:pPr>
      <w:r>
        <w:t>Art. 2 Abs. 1 GG: Allgemeine Handlungsfreiheit und Vertragsfreiheit</w:t>
      </w:r>
    </w:p>
    <w:p>
      <w:pPr>
        <w:pStyle w:val="ListBullet"/>
      </w:pPr>
      <w:r>
        <w:t>Art. 12 Abs. 1 GG: Berufsfreiheit (für unternehmerische Vertragsschlüsse)</w:t>
      </w:r>
    </w:p>
    <w:p>
      <w:pPr>
        <w:pStyle w:val="ListBullet"/>
      </w:pPr>
      <w:r>
        <w:t>Art. 14 Abs. 1 GG: Eigentumsschutz schuldrechtlicher Forderungen</w:t>
      </w:r>
    </w:p>
    <w:p>
      <w:pPr>
        <w:pStyle w:val="Heading2"/>
      </w:pPr>
      <w:r>
        <w:rPr>
          <w:rFonts w:ascii="Times New Roman" w:hAnsi="Times New Roman"/>
        </w:rPr>
        <w:t>II. Leitentscheidungen zur Vertragsfreiheit</w:t>
      </w:r>
    </w:p>
    <w:p>
      <w:pPr>
        <w:jc w:val="left"/>
      </w:pPr>
      <w:r>
        <w:rPr>
          <w:b/>
        </w:rPr>
        <w:t>BVerfGE 89, 214 (Bürgschaft, 1993):</w:t>
      </w:r>
      <w:r>
        <w:t xml:space="preserve"> Privatautonome Vertragsgestaltung genießt Grundrechtsschutz; staatliche Einschränkungen bedürfen der Verhältnismäßigkeit. Gerichte müssen bei der Auslegung zivilrechtlicher Generalklauseln (§§ 134, 138 BGB) die Grundrechtspositionen beider Parteien berücksichtigen.</w:t>
      </w:r>
    </w:p>
    <w:p>
      <w:pPr>
        <w:jc w:val="left"/>
      </w:pPr>
      <w:r>
        <w:rPr>
          <w:b/>
        </w:rPr>
        <w:t>BVerfGE 103, 89 (Handelsvertreter, 2001):</w:t>
      </w:r>
      <w:r>
        <w:t xml:space="preserve"> Einseitig belastende Vertragsregelungen bedürfen besonderer Rechtfertigung. Art. 12 GG schützt auch die berufliche Vertragsfreiheit.</w:t>
      </w:r>
    </w:p>
    <w:p>
      <w:pPr>
        <w:jc w:val="left"/>
      </w:pPr>
      <w:r>
        <w:rPr>
          <w:b/>
        </w:rPr>
        <w:t>BVerfGE 8, 274 (Berufsfreiheit):</w:t>
      </w:r>
      <w:r>
        <w:t xml:space="preserve"> Art. 12 GG umfasst auch die Freiheit, Verträge im Rahmen des Berufs abzuschließen.</w:t>
      </w:r>
    </w:p>
    <w:p>
      <w:pPr>
        <w:pStyle w:val="Heading2"/>
      </w:pPr>
      <w:r>
        <w:rPr>
          <w:rFonts w:ascii="Times New Roman" w:hAnsi="Times New Roman"/>
        </w:rPr>
        <w:t>III. Anwendung auf den Fall Tannenmoor</w:t>
      </w:r>
    </w:p>
    <w:p>
      <w:pPr>
        <w:jc w:val="left"/>
      </w:pPr>
      <w:r>
        <w:t>Lars Tannenmoor übt als Kfz-Meister einen Beruf aus. Der Einbau von Sonderzubehör ist Gegenstand seiner beruflichen Tätigkeit. Eine gerichtliche Entscheidung, die den Werkvertrag für nichtig erklärt, greift in seine Berufsausübungsfreiheit (Art. 12 Abs. 1 GG) ein.</w:t>
      </w:r>
    </w:p>
    <w:p>
      <w:pPr>
        <w:jc w:val="left"/>
      </w:pPr>
      <w:r>
        <w:t>Verhältnismäßigkeitsprüfung:</w:t>
      </w:r>
    </w:p>
    <w:p>
      <w:pPr>
        <w:pStyle w:val="ListBullet"/>
      </w:pPr>
      <w:r>
        <w:t>Zweck: Verkehrssicherheit (legitim)</w:t>
      </w:r>
    </w:p>
    <w:p>
      <w:pPr>
        <w:pStyle w:val="ListBullet"/>
      </w:pPr>
      <w:r>
        <w:t>Geeignet: Nichtigkeit des Vertrags denkbar abschreckend</w:t>
      </w:r>
    </w:p>
    <w:p>
      <w:pPr>
        <w:pStyle w:val="ListBullet"/>
      </w:pPr>
      <w:r>
        <w:t>Erforderlich: Ordnungswidrigkeitenrecht (§ 23 Abs. 1c StVO, Bußgeld) bereits ausreichend; Nichtigkeit des Werkvertrags nicht erforderlich</w:t>
      </w:r>
    </w:p>
    <w:p>
      <w:pPr>
        <w:pStyle w:val="ListBullet"/>
      </w:pPr>
      <w:r>
        <w:t>Angemessen: Tannenmoor verliert vollen Werklohn (2.380 EUR) für ordnungsgemäß erbrachte Leistung; unverhältnismäßig</w:t>
      </w:r>
    </w:p>
    <w:p>
      <w:pPr>
        <w:pStyle w:val="Heading2"/>
      </w:pPr>
      <w:r>
        <w:rPr>
          <w:rFonts w:ascii="Times New Roman" w:hAnsi="Times New Roman"/>
        </w:rPr>
        <w:t>IV. Rechtspraktische Konsequenz</w:t>
      </w:r>
    </w:p>
    <w:p>
      <w:pPr>
        <w:jc w:val="left"/>
      </w:pPr>
      <w:r>
        <w:t>Gerichte müssen bei der Anwendung des § 134 BGB die verfassungsrechtliche Position des Unternehmers (Art. 12 GG) berücksichtigen und zu einer verhältnismäßigen Auslegung gelangen: Werkvertrag wirksam.</w:t>
      </w:r>
    </w:p>
    <w:p>
      <w:pPr>
        <w:pStyle w:val="Heading2"/>
      </w:pPr>
      <w:r>
        <w:rPr>
          <w:rFonts w:ascii="Times New Roman" w:hAnsi="Times New Roman"/>
        </w:rPr>
        <w:t>V. Quellen</w:t>
      </w:r>
    </w:p>
    <w:p>
      <w:pPr>
        <w:pStyle w:val="ListBullet"/>
      </w:pPr>
      <w:r>
        <w:t>BVerfGE 7, 198 (Lüth): https://www.bundesverfassungsgericht.de/</w:t>
      </w:r>
    </w:p>
    <w:p>
      <w:pPr>
        <w:pStyle w:val="ListBullet"/>
      </w:pPr>
      <w:r>
        <w:t>BVerfGE 89, 214 (Bürgschaft): https://www.bundesverfassungsgericht.de/</w:t>
      </w:r>
    </w:p>
    <w:p>
      <w:pPr>
        <w:pStyle w:val="ListBullet"/>
      </w:pPr>
      <w:r>
        <w:t>Art. 12 GG: https://www.gesetze-im-internet.de/gg/art_12.html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