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16 — Literaturmeinungen: Medicus, Larenz/Canaris, Rüthers</w:t>
      </w:r>
    </w:p>
    <w:p>
      <w:pPr>
        <w:jc w:val="left"/>
      </w:pPr>
      <w:r>
        <w:t>Kanzleiaktenzeichen: MR-2026-0228</w:t>
      </w:r>
    </w:p>
    <w:p>
      <w:pPr>
        <w:jc w:val="left"/>
      </w:pPr>
      <w:r>
        <w:t>Verfasser: Tristan Wolfsbach (Student, Seminararbeit)</w:t>
      </w:r>
    </w:p>
    <w:p>
      <w:pPr>
        <w:jc w:val="left"/>
      </w:pPr>
      <w:r>
        <w:t>Datum: 27. Januar 2026</w:t>
      </w:r>
    </w:p>
    <w:p>
      <w:pPr>
        <w:pStyle w:val="Heading2"/>
      </w:pPr>
      <w:r>
        <w:rPr>
          <w:rFonts w:ascii="Times New Roman" w:hAnsi="Times New Roman"/>
        </w:rPr>
        <w:t>I. Überblick: Methodenlehre-Literatur</w:t>
      </w:r>
    </w:p>
    <w:p>
      <w:pPr>
        <w:jc w:val="left"/>
      </w:pPr>
      <w:r>
        <w:t>Die Auslegungslehre im deutschen Privatrecht wird maßgeblich durch drei Schulen geprägt:</w:t>
      </w:r>
    </w:p>
    <w:p>
      <w:pPr>
        <w:pStyle w:val="ListNumber"/>
      </w:pPr>
      <w:r>
        <w:rPr>
          <w:b/>
        </w:rPr>
        <w:t>Larenz/Canaris (objektive Theorie):</w:t>
      </w:r>
      <w:r>
        <w:t xml:space="preserve"> Auslegung nach dem „objektivierten Willen des Gesetzes"; teleologische Auslegung hat Vorrang vor historischer (Larenz/Canaris, Methodenlehre der Rechtswissenschaft, 3. Aufl. 1995, S. 119 ff.).</w:t>
      </w:r>
    </w:p>
    <w:p>
      <w:pPr>
        <w:pStyle w:val="ListNumber"/>
      </w:pPr>
      <w:r>
        <w:rPr>
          <w:b/>
        </w:rPr>
        <w:t>Medicus/Petersen (pragmatisch-kasuistische Methode):</w:t>
      </w:r>
      <w:r>
        <w:t xml:space="preserve"> Stärkere Betonung der Systemkohärenz und des Wortlauts; AT des BGB als methodisches Gravitationszentrum (Medicus/Petersen, AT des BGB, 11. Aufl. 2016, Rn. 58 ff.).</w:t>
      </w:r>
    </w:p>
    <w:p>
      <w:pPr>
        <w:pStyle w:val="ListNumber"/>
      </w:pPr>
      <w:r>
        <w:rPr>
          <w:b/>
        </w:rPr>
        <w:t>Rüthers/Fischer/Birk (kritische Rechtstheorie):</w:t>
      </w:r>
      <w:r>
        <w:t xml:space="preserve"> Warnung vor richterlicher Rechtsfortbildung contra legem; Vorrang des parlamentarischen Willens; skeptisch gegenüber teleologischer Dominanz (Rüthers/Fischer/Birk, Rechtstheorie, 12. Aufl. 2022, Rn. 800 ff.).</w:t>
      </w:r>
    </w:p>
    <w:p>
      <w:pPr>
        <w:pStyle w:val="Heading2"/>
      </w:pPr>
      <w:r>
        <w:rPr>
          <w:rFonts w:ascii="Times New Roman" w:hAnsi="Times New Roman"/>
        </w:rPr>
        <w:t>II. Medicus zu § 134 BGB und Verbotsgesetzen</w:t>
      </w:r>
    </w:p>
    <w:p>
      <w:pPr>
        <w:jc w:val="left"/>
      </w:pPr>
      <w:r>
        <w:t>Medicus/Lorenz, Schuldrecht I, Rn. 412 ff.: § 134 BGB ist restriktiv anzuwenden. Nichtigkeit tritt nur ein, wenn das Verbotsgesetz nicht nur eine bestimmte Verhaltensweise sanktionieren, sondern auch die privatrechtliche Transaktion unterbinden will. Bei einseitigen Verboten ist Nichtigkeit zu verneinen.</w:t>
      </w:r>
    </w:p>
    <w:p>
      <w:pPr>
        <w:jc w:val="left"/>
      </w:pPr>
      <w:r>
        <w:t>Für unseren Fall: Medicus würde dem Werkvertrag Wirksamkeit zusprechen, da § 23 Abs. 1c StVO nur den Fahrzeugführer adressiert.</w:t>
      </w:r>
    </w:p>
    <w:p>
      <w:pPr>
        <w:pStyle w:val="Heading2"/>
      </w:pPr>
      <w:r>
        <w:rPr>
          <w:rFonts w:ascii="Times New Roman" w:hAnsi="Times New Roman"/>
        </w:rPr>
        <w:t>III. Larenz/Canaris zur teleologischen Reduktion</w:t>
      </w:r>
    </w:p>
    <w:p>
      <w:pPr>
        <w:jc w:val="left"/>
      </w:pPr>
      <w:r>
        <w:t>Larenz/Canaris, Methodenlehre, S. 210 ff.: Teleologische Reduktion ist zulässig, wenn die wortwörtliche Anwendung einer Norm ihrem Sinn und Zweck widersprechen würde. Bei § 134 BGB: Wenn das Verbotsgesetz keinen Anlass gibt, den Werkvertrag zu vernichten, ist § 134 BGB teleologisch zu reduzieren.</w:t>
      </w:r>
    </w:p>
    <w:p>
      <w:pPr>
        <w:jc w:val="left"/>
      </w:pPr>
      <w:r>
        <w:t>Larenz begrüßt die Schutzzwecklehre als methodisch sauber: Die Rechtsfolge der Nichtigkeit folgt aus dem Zweck, nicht aus dem Wortlaut allein.</w:t>
      </w:r>
    </w:p>
    <w:p>
      <w:pPr>
        <w:pStyle w:val="Heading2"/>
      </w:pPr>
      <w:r>
        <w:rPr>
          <w:rFonts w:ascii="Times New Roman" w:hAnsi="Times New Roman"/>
        </w:rPr>
        <w:t>IV. Rüthers/Fischer/Birk: Kritische Position</w:t>
      </w:r>
    </w:p>
    <w:p>
      <w:pPr>
        <w:jc w:val="left"/>
      </w:pPr>
      <w:r>
        <w:t>Rüthers/Fischer/Birk, Rechtstheorie, Rn. 800 ff.: Warnung vor einer allzu freien richterlichen Rechtsfortbildung. Der Gesetzgeber hat in § 134 BGB die Nichtigkeitsfolge normiert; Einschränkungen durch „teleologische Reduktion" bedürfen einer methodisch soliden Begründung. Rüthers mahnt zur Zurückhaltung bei der Verwendung der teleologischen Reduktion als Allheilmittel.</w:t>
      </w:r>
    </w:p>
    <w:p>
      <w:pPr>
        <w:jc w:val="left"/>
      </w:pPr>
      <w:r>
        <w:t>Für unseren Fall: Rüthers würde eine detaillierte Prüfung des Verbotszwecks verlangen und nur dann teleologische Reduktion akzeptieren, wenn die parlamentarische Intention eindeutig gegen die Nichtigkeit spricht — was hier nachgewiesen wurde (vgl. Aktenstück 07).</w:t>
      </w:r>
    </w:p>
    <w:p>
      <w:pPr>
        <w:pStyle w:val="Heading2"/>
      </w:pPr>
      <w:r>
        <w:rPr>
          <w:rFonts w:ascii="Times New Roman" w:hAnsi="Times New Roman"/>
        </w:rPr>
        <w:t>V. Säcker (MüKo-Einleitung) zur Schutzzwecklehre</w:t>
      </w:r>
    </w:p>
    <w:p>
      <w:pPr>
        <w:jc w:val="left"/>
      </w:pPr>
      <w:r>
        <w:t>Säcker, in: MüKo BGB, Einleitung Rn. 204 ff.: Die Schutzzwecklehre ist heute h.M. im Bereich des § 134 BGB. Die Frage, ob ein Verbotsgesetz zur Nichtigkeit führt, beantwortet sich nach dem Zweck des Verbots, nicht nach dem Wortlaut des § 134 BGB allein.</w:t>
      </w:r>
    </w:p>
    <w:p>
      <w:pPr>
        <w:pStyle w:val="Heading2"/>
      </w:pPr>
      <w:r>
        <w:rPr>
          <w:rFonts w:ascii="Times New Roman" w:hAnsi="Times New Roman"/>
        </w:rPr>
        <w:t>VI. Streitstand: Medicus vs. Larenz</w:t>
      </w:r>
    </w:p>
    <w:p>
      <w:pPr>
        <w:jc w:val="left"/>
      </w:pPr>
      <w:r>
        <w:t>Im konkreten Punkt besteht kein wesentlicher Widerspruch zwischen Medicus und Larenz: Beide befürworten eine zweckorientierte Anwendung des § 134 BGB und kommen bei einseitigen Verbotsgesetzen zur Wirksamkeit des Vertrags. Der Unterschied liegt in der methodischen Begründung: Medicus betont den Systemzusammenhang; Larenz die teleologische Auslegung.</w:t>
      </w:r>
    </w:p>
    <w:p>
      <w:pPr>
        <w:pStyle w:val="Heading2"/>
      </w:pPr>
      <w:r>
        <w:rPr>
          <w:rFonts w:ascii="Times New Roman" w:hAnsi="Times New Roman"/>
        </w:rPr>
        <w:t>VII. Quellen</w:t>
      </w:r>
    </w:p>
    <w:p>
      <w:pPr>
        <w:pStyle w:val="ListBullet"/>
      </w:pPr>
      <w:r>
        <w:t>Larenz/Canaris, Methodenlehre der Rechtswissenschaft, 3. Aufl. 1995</w:t>
      </w:r>
    </w:p>
    <w:p>
      <w:pPr>
        <w:pStyle w:val="ListBullet"/>
      </w:pPr>
      <w:r>
        <w:t>Medicus/Petersen, Allgemeiner Teil des BGB, 11. Aufl. 2016</w:t>
      </w:r>
    </w:p>
    <w:p>
      <w:pPr>
        <w:pStyle w:val="ListBullet"/>
      </w:pPr>
      <w:r>
        <w:t>Rüthers/Fischer/Birk, Rechtstheorie, 12. Aufl. 2022</w:t>
      </w:r>
    </w:p>
    <w:p>
      <w:pPr>
        <w:pStyle w:val="ListBullet"/>
      </w:pPr>
      <w:r>
        <w:t>Säcker, in: MüKo BGB, 9. Aufl. 2021, Einleitung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