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17 — Eigene Stellungnahme und Lösung</w:t>
      </w:r>
    </w:p>
    <w:p>
      <w:pPr>
        <w:jc w:val="left"/>
      </w:pPr>
      <w:r>
        <w:t>Kanzleiaktenzeichen: MR-2026-0228</w:t>
      </w:r>
    </w:p>
    <w:p>
      <w:pPr>
        <w:jc w:val="left"/>
      </w:pPr>
      <w:r>
        <w:t>Verfasser: RA Dr. Mark Roosendaal</w:t>
      </w:r>
    </w:p>
    <w:p>
      <w:pPr>
        <w:jc w:val="left"/>
      </w:pPr>
      <w:r>
        <w:t>Datum: 30. Januar 2026</w:t>
      </w:r>
    </w:p>
    <w:p>
      <w:pPr>
        <w:pStyle w:val="Heading2"/>
      </w:pPr>
      <w:r>
        <w:rPr>
          <w:rFonts w:ascii="Times New Roman" w:hAnsi="Times New Roman"/>
        </w:rPr>
        <w:t>I. Zusammenfassung der Auslegungsergebnisse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Auslegungsmethode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Grammatikalische Auslegung (§ 133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Werkvertrag wirksam; kein Mangel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Systematische Auslegung (§ 157 BGB)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23 Abs. 1c StVO als einseitiges Verbot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Historische Auslegung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Anhalt für Nichtigkeit des Werkvertrags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Teleologische Auslegung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Verbotszweck erfasst Einbauvertrag nicht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Verfassungskonforme Auslegung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Art. 12 GG bestätigt Wirksamkeit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Analogie BGH VII ZR 235/15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übertragbar (einseitiges Verbot)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Teleologische Reduktion § 134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Bestätigt Wirksamkeit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Teleologische Reduktion § 817 S. 2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 beiderseitiger Verstoß; keine Sperrwirkung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II. Eigene Stellungnahme</w:t>
      </w:r>
    </w:p>
    <w:p>
      <w:pPr>
        <w:jc w:val="left"/>
      </w:pPr>
      <w:r>
        <w:t>Alle Auslegungskanones und die Rechtsfortbildungsanalyse führen zum gleichen Ergebnis: Der Werkvertrag zwischen Lars Tannenmoor und Veit Sauer-Hellbrunn ist wirksam. § 134 BGB greift nicht. § 23 Abs. 1c StVO ist ein einseitiges Verbotsgesetz, das sich an den Fahrzeugführer richtet, nicht an den Einbaubetrieb.</w:t>
      </w:r>
    </w:p>
    <w:p>
      <w:pPr>
        <w:jc w:val="left"/>
      </w:pPr>
      <w:r>
        <w:t>Sauer-Hellbruns Weigerung, den Werklohn zu zahlen, ist rechtlich nicht begründet. Treuwidrig (§ 242 BGB) ist außerdem der Versuch, die Illegalität der eigenen Verwendung gegen den Unternehmer in Stellung zu bringen: Sauer-Hellbrunn wollte das Gerät einbauen lassen; er allein hat die Ordnungswidrigkeit begangen; es wäre widersinnig, ihm daraus einen Vorteil zu verschaffen.</w:t>
      </w:r>
    </w:p>
    <w:p>
      <w:pPr>
        <w:pStyle w:val="Heading2"/>
      </w:pPr>
      <w:r>
        <w:rPr>
          <w:rFonts w:ascii="Times New Roman" w:hAnsi="Times New Roman"/>
        </w:rPr>
        <w:t>III. Ergebnis</w:t>
      </w:r>
    </w:p>
    <w:p>
      <w:pPr>
        <w:jc w:val="left"/>
      </w:pPr>
      <w:r>
        <w:rPr>
          <w:b/>
        </w:rPr>
        <w:t>Werklohnanspruch Lars Tannenmoor gegen Veit Sauer-Hellbrunn:</w:t>
      </w:r>
      <w:r>
        <w:t xml:space="preserve"> 2.380 EUR brutto (§ 631 Abs. 1 BGB). Der Anspruch ist fällig (§ 641 BGB: Abnahme erfolgt am 18. November 2025). Verzug seit 26. November 2025 (Mahnschreiben vorausgesetzt); Zinsen gemäß § 288 Abs. 1 BGB (5 Prozentpunkte über Basiszins).</w:t>
      </w:r>
    </w:p>
    <w:p>
      <w:pPr>
        <w:jc w:val="left"/>
      </w:pPr>
      <w:r>
        <w:rPr>
          <w:b/>
        </w:rPr>
        <w:t>Schadensersatzanspruch Sauer-Hellbruns:</w:t>
      </w:r>
      <w:r>
        <w:t xml:space="preserve"> Unbegründet. Weder § 823 Abs. 1 noch § 823 Abs. 2 BGB i.V.m. § 23 Abs. 1c StVO sind einschlägig.</w:t>
      </w:r>
    </w:p>
    <w:p>
      <w:pPr>
        <w:pStyle w:val="Heading2"/>
      </w:pPr>
      <w:r>
        <w:rPr>
          <w:rFonts w:ascii="Times New Roman" w:hAnsi="Times New Roman"/>
        </w:rPr>
        <w:t>IV. Empfehlung an den Mandanten</w:t>
      </w:r>
    </w:p>
    <w:p>
      <w:pPr>
        <w:jc w:val="left"/>
      </w:pPr>
      <w:r>
        <w:t>Außergerichtliche Zahlungsaufforderung an Sauer-Hellbrunn; Fristsetzung 2 Wochen. Bei Ausbleiben der Zahlung: Klage beim Amtsgericht Bonn-Bad Godesberg (§ 23 Nr. 1 GVG; Streitwert 2.380 EUR).</w:t>
      </w:r>
    </w:p>
    <w:p>
      <w:pPr>
        <w:pStyle w:val="Heading2"/>
      </w:pPr>
      <w:r>
        <w:rPr>
          <w:rFonts w:ascii="Times New Roman" w:hAnsi="Times New Roman"/>
        </w:rPr>
        <w:t>V. Quellen</w:t>
      </w:r>
    </w:p>
    <w:p>
      <w:pPr>
        <w:pStyle w:val="ListBullet"/>
      </w:pPr>
      <w:r>
        <w:t>§§ 134, 242, 631, 641, 288 BGB: https://dejure.org/gesetze/BGB/</w:t>
      </w:r>
    </w:p>
    <w:p>
      <w:pPr>
        <w:pStyle w:val="ListBullet"/>
      </w:pPr>
      <w:r>
        <w:t>§ 23 StVO: https://dejure.org/gesetze/StVO/23.html</w:t>
      </w:r>
    </w:p>
    <w:p>
      <w:pPr>
        <w:pStyle w:val="ListBullet"/>
      </w:pPr>
      <w:r>
        <w:t>BGH VII ZR 235/15: https://www.bundesgerichtshof.de/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