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19 — Übungsklausur: Fallabwandlung II</w:t>
      </w:r>
    </w:p>
    <w:p>
      <w:pPr>
        <w:jc w:val="left"/>
      </w:pPr>
      <w:r>
        <w:t>Universität Bonn — Übung im Bürgerlichen Recht, WS 2026/27, Fall 14</w:t>
      </w:r>
    </w:p>
    <w:p>
      <w:pPr>
        <w:jc w:val="left"/>
      </w:pPr>
      <w:r>
        <w:t>Kursbetreuung: Prof. Dr. Henrietta Meckenheim</w:t>
      </w:r>
    </w:p>
    <w:p>
      <w:pPr>
        <w:pStyle w:val="Heading2"/>
      </w:pPr>
      <w:r>
        <w:rPr>
          <w:rFonts w:ascii="Times New Roman" w:hAnsi="Times New Roman"/>
        </w:rPr>
        <w:t>Sachverhalt — Abwandlung II</w:t>
      </w:r>
    </w:p>
    <w:p>
      <w:pPr>
        <w:jc w:val="left"/>
      </w:pPr>
      <w:r>
        <w:t>Wie Ausgangsfall, aber: Tannenmoor (T) weiß nicht, dass Radarwarner im öffentlichen Straßenverkehr verboten sind (grobe Fahrlässigkeit). Er glaubt, das Gerät sei in Deutschland zulässig. S zahlt nach der Polizeikontrolle nicht. T verlangt als Hauptantrag den Werklohn (2.380 EUR), hilfsweise Wertersatz aus ungerechtfertigter Bereicherung (§ 812 Abs. 1 S. 1 Alt. 1 BGB).</w:t>
      </w:r>
    </w:p>
    <w:p>
      <w:pPr>
        <w:jc w:val="left"/>
      </w:pPr>
      <w:r>
        <w:t>Zusatz: S hat durch die Sicherstellung des Geräts einen Schaden von 850 EUR (Gerätewert) erlitten. Er verlangt von T Schadensersatz.</w:t>
      </w:r>
    </w:p>
    <w:p>
      <w:pPr>
        <w:pStyle w:val="Heading2"/>
      </w:pPr>
      <w:r>
        <w:rPr>
          <w:rFonts w:ascii="Times New Roman" w:hAnsi="Times New Roman"/>
        </w:rPr>
        <w:t>Fragen</w:t>
      </w:r>
    </w:p>
    <w:p>
      <w:pPr>
        <w:pStyle w:val="ListNumber"/>
      </w:pPr>
      <w:r>
        <w:t>Kommt es für § 134 BGB auf das Wissen des T vom Verbotscharakter an?</w:t>
      </w:r>
    </w:p>
    <w:p>
      <w:pPr>
        <w:pStyle w:val="ListNumber"/>
      </w:pPr>
      <w:r>
        <w:t>Kann T hilfsweise Wertersatz aus § 812 BGB verlangen?</w:t>
      </w:r>
    </w:p>
    <w:p>
      <w:pPr>
        <w:pStyle w:val="ListNumber"/>
      </w:pPr>
      <w:r>
        <w:t>Hat S einen Schadensersatzanspruch gegen T?</w:t>
      </w:r>
    </w:p>
    <w:p>
      <w:pPr>
        <w:pStyle w:val="Heading2"/>
      </w:pPr>
      <w:r>
        <w:rPr>
          <w:rFonts w:ascii="Times New Roman" w:hAnsi="Times New Roman"/>
        </w:rPr>
        <w:t>Lösungshinweise</w:t>
      </w:r>
    </w:p>
    <w:p>
      <w:pPr>
        <w:pStyle w:val="Heading3"/>
      </w:pPr>
      <w:r>
        <w:rPr>
          <w:rFonts w:ascii="Times New Roman" w:hAnsi="Times New Roman"/>
        </w:rPr>
        <w:t>Zu Frage 1</w:t>
      </w:r>
    </w:p>
    <w:p>
      <w:pPr>
        <w:jc w:val="left"/>
      </w:pPr>
      <w:r>
        <w:t>§ 134 BGB erfordert keinen Vorsatz; die Nichtigkeit tritt kraft Gesetzes ein, unabhängig vom Wissen der Parteien. ABER: Die Frage, ob § 134 BGB überhaupt anwendbar ist, hängt vom Verbotscharakter des § 23 Abs. 1c StVO ab (einseitig vs. beiderseitig). Das Unwissen des T ändert an der Qualifikation des Verbotsgesetzes nichts. Ergebnis: Werkvertrag wirksam (s. Ausgangsfall); Unwissensfrage ist eine Scheinfrage.</w:t>
      </w:r>
    </w:p>
    <w:p>
      <w:pPr>
        <w:pStyle w:val="Heading3"/>
      </w:pPr>
      <w:r>
        <w:rPr>
          <w:rFonts w:ascii="Times New Roman" w:hAnsi="Times New Roman"/>
        </w:rPr>
        <w:t>Zu Frage 2</w:t>
      </w:r>
    </w:p>
    <w:p>
      <w:pPr>
        <w:jc w:val="left"/>
      </w:pPr>
      <w:r>
        <w:t>Wenn (hypothetisch) § 134 BGB griffe: § 812 Abs. 1 S. 1 Alt. 1 BGB (Leistungskondiktion). T hat geleistet; S hat das Werk (Fahrzeug mit Radarwarner) erhalten und behalten. T kann Wertersatz (§ 818 Abs. 2 BGB) verlangen. § 817 S. 2 BGB sperrt nur bei beiderseitigem Verstoß. Da T gutgläubig ist: Kein Verstoß des T; § 817 S. 2 BGB greift nicht. T kann kondizieren.</w:t>
      </w:r>
    </w:p>
    <w:p>
      <w:pPr>
        <w:pStyle w:val="Heading3"/>
      </w:pPr>
      <w:r>
        <w:rPr>
          <w:rFonts w:ascii="Times New Roman" w:hAnsi="Times New Roman"/>
        </w:rPr>
        <w:t>Zu Frage 3</w:t>
      </w:r>
    </w:p>
    <w:p>
      <w:pPr>
        <w:jc w:val="left"/>
      </w:pPr>
      <w:r>
        <w:t>S hat keinen Schadensersatzanspruch gegen T:</w:t>
      </w:r>
    </w:p>
    <w:p>
      <w:pPr>
        <w:pStyle w:val="ListBullet"/>
      </w:pPr>
      <w:r>
        <w:t>§ 823 Abs. 1: Kein Eingriff des T in Rechtsgut des S</w:t>
      </w:r>
    </w:p>
    <w:p>
      <w:pPr>
        <w:pStyle w:val="ListBullet"/>
      </w:pPr>
      <w:r>
        <w:t>§ 823 Abs. 2 i.V.m. § 23 Abs. 1c StVO: Kein Schutzgesetz zugunsten des S (Schutzzweckanalyse)</w:t>
      </w:r>
    </w:p>
    <w:p>
      <w:pPr>
        <w:pStyle w:val="ListBullet"/>
      </w:pPr>
      <w:r>
        <w:t>§ 826: Kein Schädigungsvorsatz des T; T handelte gutgläubig</w:t>
      </w:r>
    </w:p>
    <w:p>
      <w:pPr>
        <w:pStyle w:val="ListBullet"/>
      </w:pPr>
      <w:r>
        <w:t>Mitverschulden § 254 BGB: S hat das Gerät in Kenntnis des Risikos betrieben; Schaden selbst verursacht</w:t>
      </w:r>
    </w:p>
    <w:p>
      <w:pPr>
        <w:pStyle w:val="Heading2"/>
      </w:pPr>
      <w:r>
        <w:rPr>
          <w:rFonts w:ascii="Times New Roman" w:hAnsi="Times New Roman"/>
        </w:rPr>
        <w:t>Bearbeitungszeit</w:t>
      </w:r>
    </w:p>
    <w:p>
      <w:pPr>
        <w:jc w:val="left"/>
      </w:pPr>
      <w:r>
        <w:t>90 Minuten. Schwerpunkt: §§ 134, 817 BGB; Bereicherungsrecht; Schutzgesetzcharakter.</w:t>
      </w:r>
    </w:p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§§ 134, 812, 817, 818, 823, 826 BGB: https://dejure.org/gesetze/BGB/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