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21 — Merkblatt: Prüfungsaufbau im Methodenkanon-Fall</w:t>
      </w:r>
    </w:p>
    <w:p>
      <w:pPr>
        <w:jc w:val="left"/>
      </w:pPr>
      <w:r>
        <w:t>Universität Bonn — Übung im Bürgerlichen Recht</w:t>
      </w:r>
    </w:p>
    <w:p>
      <w:pPr>
        <w:jc w:val="left"/>
      </w:pPr>
      <w:r>
        <w:t>Erstellt von: Prof. Dr. Henrietta Meckenheim / Dr. Annegret Pohlmann</w:t>
      </w:r>
    </w:p>
    <w:p>
      <w:pPr>
        <w:pStyle w:val="Heading2"/>
      </w:pPr>
      <w:r>
        <w:rPr>
          <w:rFonts w:ascii="Times New Roman" w:hAnsi="Times New Roman"/>
        </w:rPr>
        <w:t>I. Allgemeiner Prüfungsaufbau (Gutachtenstil)</w:t>
      </w:r>
    </w:p>
    <w:p>
      <w:pPr>
        <w:jc w:val="left"/>
      </w:pPr>
      <w:r>
        <w:t>Der Gutachtenstil (Obersatz → Voraussetzungen → Subsumtion → Ergebnis) ist zwingend für die erste Staatsprüfung in NRW.</w:t>
      </w:r>
    </w:p>
    <w:p>
      <w:pPr>
        <w:jc w:val="left"/>
      </w:pPr>
      <w:r>
        <w:rPr>
          <w:b/>
        </w:rPr>
        <w:t>Schema:</w:t>
      </w:r>
    </w:p>
    <w:p>
      <w:pPr>
        <w:pStyle w:val="ListNumber"/>
      </w:pPr>
      <w:r>
        <w:t>Obersatz: „X könnte gegen Y einen Anspruch auf Z haben."</w:t>
      </w:r>
    </w:p>
    <w:p>
      <w:pPr>
        <w:pStyle w:val="ListNumber"/>
      </w:pPr>
      <w:r>
        <w:t>Voraussetzungen der Anspruchsgrundlage prüfen</w:t>
      </w:r>
    </w:p>
    <w:p>
      <w:pPr>
        <w:pStyle w:val="ListNumber"/>
      </w:pPr>
      <w:r>
        <w:t>Subsumtion: Sachverhaltsmerkmale unter Tatbestandsmerkmale</w:t>
      </w:r>
    </w:p>
    <w:p>
      <w:pPr>
        <w:pStyle w:val="ListNumber"/>
      </w:pPr>
      <w:r>
        <w:t>Zwischenergebnis je Prüfungsschritt</w:t>
      </w:r>
    </w:p>
    <w:p>
      <w:pPr>
        <w:pStyle w:val="ListNumber"/>
      </w:pPr>
      <w:r>
        <w:t>Endergebnis</w:t>
      </w:r>
    </w:p>
    <w:p>
      <w:pPr>
        <w:pStyle w:val="Heading2"/>
      </w:pPr>
      <w:r>
        <w:rPr>
          <w:rFonts w:ascii="Times New Roman" w:hAnsi="Times New Roman"/>
        </w:rPr>
        <w:t>II. Prüfungsaufbau im Methodenfall (Tannenmoor/Sauer-Hellbrunn)</w:t>
      </w:r>
    </w:p>
    <w:p>
      <w:pPr>
        <w:pStyle w:val="Heading3"/>
      </w:pPr>
      <w:r>
        <w:rPr>
          <w:rFonts w:ascii="Times New Roman" w:hAnsi="Times New Roman"/>
        </w:rPr>
        <w:t>Hauptprüfungspunkt: § 631 BGB Werklohnanspruch</w:t>
      </w:r>
    </w:p>
    <w:p>
      <w:pPr>
        <w:pStyle w:val="ListNumber"/>
      </w:pPr>
      <w:r>
        <w:t>Anspruch entstanden?</w:t>
      </w:r>
    </w:p>
    <w:p>
      <w:pPr>
        <w:pStyle w:val="ListBullet"/>
      </w:pPr>
      <w:r>
        <w:t>Werkvertrag geschlossen (§ 631 BGB)? (+)</w:t>
      </w:r>
    </w:p>
    <w:p>
      <w:pPr>
        <w:pStyle w:val="ListBullet"/>
      </w:pPr>
      <w:r>
        <w:t>Werk hergestellt? (+)</w:t>
      </w:r>
    </w:p>
    <w:p>
      <w:pPr>
        <w:pStyle w:val="ListBullet"/>
      </w:pPr>
      <w:r>
        <w:t>Fälligkeit (§ 641 BGB)? (+)</w:t>
      </w:r>
    </w:p>
    <w:p>
      <w:pPr>
        <w:pStyle w:val="ListNumber"/>
      </w:pPr>
      <w:r>
        <w:t>Anspruch untergegangen / nicht entstanden?</w:t>
      </w:r>
    </w:p>
    <w:p>
      <w:pPr>
        <w:pStyle w:val="ListBullet"/>
      </w:pPr>
      <w:r>
        <w:t>§ 134 BGB i.V.m. § 23 Abs. 1c StVO?</w:t>
      </w:r>
    </w:p>
    <w:p>
      <w:pPr>
        <w:pStyle w:val="ListBullet"/>
      </w:pPr>
      <w:r>
        <w:t>Ist § 23 Abs. 1c StVO ein gesetzliches Verbot? (+)</w:t>
      </w:r>
    </w:p>
    <w:p>
      <w:pPr>
        <w:pStyle w:val="ListBullet"/>
      </w:pPr>
      <w:r>
        <w:t>Ist es ein Verbotsgesetz für diesen Vertrag?</w:t>
      </w:r>
    </w:p>
    <w:p>
      <w:pPr>
        <w:jc w:val="left"/>
      </w:pPr>
      <w:r>
        <w:t>a) Wortlautauslegung → einseitiges Verbot</w:t>
      </w:r>
    </w:p>
    <w:p>
      <w:pPr>
        <w:jc w:val="left"/>
      </w:pPr>
      <w:r>
        <w:t>b) Systematische Auslegung → OWi-Recht, kein Zivilrechtsbezug</w:t>
      </w:r>
    </w:p>
    <w:p>
      <w:pPr>
        <w:jc w:val="left"/>
      </w:pPr>
      <w:r>
        <w:t>c) Historische Auslegung → kein Wille zur Nichtigkeit des Einbauvertrags</w:t>
      </w:r>
    </w:p>
    <w:p>
      <w:pPr>
        <w:jc w:val="left"/>
      </w:pPr>
      <w:r>
        <w:t>d) Teleologische Auslegung → Verbotszweck erfasst nicht den Werkvertrag</w:t>
      </w:r>
    </w:p>
    <w:p>
      <w:pPr>
        <w:jc w:val="left"/>
      </w:pPr>
      <w:r>
        <w:t>e) Verfassungskonforme Auslegung → Art. 12 GG</w:t>
      </w:r>
    </w:p>
    <w:p>
      <w:pPr>
        <w:jc w:val="left"/>
      </w:pPr>
      <w:r>
        <w:t>→ Ergebnis: Kein Verbotsgesetz für Einbauvertrag → § 134 BGB (–)</w:t>
      </w:r>
    </w:p>
    <w:p>
      <w:pPr>
        <w:pStyle w:val="ListBullet"/>
      </w:pPr>
      <w:r>
        <w:t>Mangelhaftigkeit (§ 633 BGB)? → (–) (s.o.)</w:t>
      </w:r>
    </w:p>
    <w:p>
      <w:pPr>
        <w:pStyle w:val="ListNumber"/>
      </w:pPr>
      <w:r>
        <w:t>Anspruch durchsetzbar?</w:t>
      </w:r>
    </w:p>
    <w:p>
      <w:pPr>
        <w:pStyle w:val="ListBullet"/>
      </w:pPr>
      <w:r>
        <w:t>Einrede? → Keine einschlägige Einrede</w:t>
      </w:r>
    </w:p>
    <w:p>
      <w:pPr>
        <w:pStyle w:val="ListNumber"/>
      </w:pPr>
      <w:r>
        <w:t>Ergebnis: § 631 Abs. 1 BGB (+) → Werklohn 2.380 EUR</w:t>
      </w:r>
    </w:p>
    <w:p>
      <w:pPr>
        <w:pStyle w:val="Heading3"/>
      </w:pPr>
      <w:r>
        <w:rPr>
          <w:rFonts w:ascii="Times New Roman" w:hAnsi="Times New Roman"/>
        </w:rPr>
        <w:t>Hilfsweise: § 812 Abs. 1 S. 1 Alt. 1 BGB</w:t>
      </w:r>
    </w:p>
    <w:p>
      <w:pPr>
        <w:jc w:val="left"/>
      </w:pPr>
      <w:r>
        <w:t>(Nur bei Verneinung des Werkvertrags unter Pkt. 2)</w:t>
      </w:r>
    </w:p>
    <w:p>
      <w:pPr>
        <w:pStyle w:val="ListBullet"/>
      </w:pPr>
      <w:r>
        <w:t>Leistung des T? (+)</w:t>
      </w:r>
    </w:p>
    <w:p>
      <w:pPr>
        <w:pStyle w:val="ListBullet"/>
      </w:pPr>
      <w:r>
        <w:t>Ohne Rechtsgrund? (hängt von § 134 BGB ab)</w:t>
      </w:r>
    </w:p>
    <w:p>
      <w:pPr>
        <w:pStyle w:val="ListBullet"/>
      </w:pPr>
      <w:r>
        <w:t>§ 817 S. 2 BGB als Sperrwirkung? → Prüfung beiderseitiger Verstoß → (–)</w:t>
      </w:r>
    </w:p>
    <w:p>
      <w:pPr>
        <w:pStyle w:val="Heading2"/>
      </w:pPr>
      <w:r>
        <w:rPr>
          <w:rFonts w:ascii="Times New Roman" w:hAnsi="Times New Roman"/>
        </w:rPr>
        <w:t>III. Klausurtaktische Hinweise</w:t>
      </w:r>
    </w:p>
    <w:p>
      <w:pPr>
        <w:pStyle w:val="ListBullet"/>
      </w:pPr>
      <w:r>
        <w:t>Immer alle vier Auslegungskanones nennen (auch wenn kurz)</w:t>
      </w:r>
    </w:p>
    <w:p>
      <w:pPr>
        <w:pStyle w:val="ListBullet"/>
      </w:pPr>
      <w:r>
        <w:t>Analogie und teleologische Reduktion als separate Punkte</w:t>
      </w:r>
    </w:p>
    <w:p>
      <w:pPr>
        <w:pStyle w:val="ListBullet"/>
      </w:pPr>
      <w:r>
        <w:t>Verfassungskonforme Auslegung nicht vergessen (examensrelevant)</w:t>
      </w:r>
    </w:p>
    <w:p>
      <w:pPr>
        <w:pStyle w:val="ListBullet"/>
      </w:pPr>
      <w:r>
        <w:t>Bei § 134 BGB: Schutzzwecklehre als Hauptargument</w:t>
      </w:r>
    </w:p>
    <w:p>
      <w:pPr>
        <w:pStyle w:val="ListBullet"/>
      </w:pPr>
      <w:r>
        <w:t>Berufungsurteil BGH VII ZR 235/15 als Gegenargument nennen und abgrenzen</w:t>
      </w:r>
    </w:p>
    <w:p>
      <w:pPr>
        <w:pStyle w:val="ListBullet"/>
      </w:pPr>
      <w:r>
        <w:t>§ 817 S. 2 BGB: Nur prüfen wenn § 134 BGB bejaht</w:t>
      </w:r>
    </w:p>
    <w:p>
      <w:pPr>
        <w:pStyle w:val="Heading2"/>
      </w:pPr>
      <w:r>
        <w:rPr>
          <w:rFonts w:ascii="Times New Roman" w:hAnsi="Times New Roman"/>
        </w:rPr>
        <w:t>IV. Examensrelevanz</w:t>
      </w:r>
    </w:p>
    <w:p>
      <w:pPr>
        <w:jc w:val="left"/>
      </w:pPr>
      <w:r>
        <w:t>In der ersten Staatsprüfung NRW tauchen § 134 BGB-Fragen in ca. 20–25 % der zivilrechtlichen Klausuren auf. Besonders examensrelevant:</w:t>
      </w:r>
    </w:p>
    <w:p>
      <w:pPr>
        <w:pStyle w:val="ListBullet"/>
      </w:pPr>
      <w:r>
        <w:t>Einseitiges vs. beiderseitiges Verbotsgesetz</w:t>
      </w:r>
    </w:p>
    <w:p>
      <w:pPr>
        <w:pStyle w:val="ListBullet"/>
      </w:pPr>
      <w:r>
        <w:t>Analogie zu SchwArbG</w:t>
      </w:r>
    </w:p>
    <w:p>
      <w:pPr>
        <w:pStyle w:val="ListBullet"/>
      </w:pPr>
      <w:r>
        <w:t>§ 817 S. 2 BGB</w:t>
      </w:r>
    </w:p>
    <w:p>
      <w:pPr>
        <w:pStyle w:val="ListBullet"/>
      </w:pPr>
      <w:r>
        <w:t>Zusammenspiel Werkvertrags- und Bereicherungsrecht</w:t>
      </w:r>
    </w:p>
    <w:p>
      <w:pPr>
        <w:pStyle w:val="Heading2"/>
      </w:pPr>
      <w:r>
        <w:rPr>
          <w:rFonts w:ascii="Times New Roman" w:hAnsi="Times New Roman"/>
        </w:rPr>
        <w:t>V. Quellen</w:t>
      </w:r>
    </w:p>
    <w:p>
      <w:pPr>
        <w:pStyle w:val="ListBullet"/>
      </w:pPr>
      <w:r>
        <w:t>§§ 134, 631, 641, 633, 812, 817 BGB: https://dejure.org/gesetze/BGB/</w:t>
      </w:r>
    </w:p>
    <w:p>
      <w:pPr>
        <w:pStyle w:val="ListBullet"/>
      </w:pPr>
      <w:r>
        <w:t>BGH VII ZR 235/15: https://www.bundesgerichtshof.de/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