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22 — Zusammenfassung: Der Methodenkanon im Fall Tannenmoor</w:t>
      </w:r>
    </w:p>
    <w:p>
      <w:pPr>
        <w:jc w:val="left"/>
      </w:pPr>
      <w:r>
        <w:t>Universität Bonn — Übung im Bürgerlichen Recht, WS 2026/27</w:t>
      </w:r>
    </w:p>
    <w:p>
      <w:pPr>
        <w:jc w:val="left"/>
      </w:pPr>
      <w:r>
        <w:t>Kurs-Zusammenfassung: Prof. Dr. Henrietta Meckenheim</w:t>
      </w:r>
    </w:p>
    <w:p>
      <w:pPr>
        <w:pStyle w:val="Heading2"/>
      </w:pPr>
      <w:r>
        <w:rPr>
          <w:rFonts w:ascii="Times New Roman" w:hAnsi="Times New Roman"/>
        </w:rPr>
        <w:t>I. Die vier klassischen Auslegungskanones (Savigny)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Kanon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Methode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 im Fall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Grammatikalisch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Wortlaut des Gesetzes (§§ 133, 157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Einseitiges Verbot; kein Mangel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Systematisch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 im Gesetz, Normzusammenhang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23 StVO ≠ Zivilrechtsverbot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Historisch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Gesetzgeberwille, Materialien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Nichtigkeit-Wille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Teleologisch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Sinn und Zweck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Verbotszweck erfasst Einbauvertrag nicht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II. Rechtsfortbildung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Instrument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Anwendung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Analogie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VII ZR 235/15 — nicht übertragbar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(–)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Teleologische Reduktion § 134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Wortlaut zu weit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Bestätigt Wirksamkeit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Teleologische Reduktion § 817 S.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beiderseitiger Verstoß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Kondiktionsanspruch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Verfassungskonforme Auslegung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12 GG Berufsfreiheit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Bestätigt Wirksamkeit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III. Normstruktur § 134 BGB</w:t>
      </w:r>
    </w:p>
    <w:p>
      <w:pPr>
        <w:jc w:val="left"/>
      </w:pPr>
      <w:r>
        <w:t>```</w:t>
      </w:r>
    </w:p>
    <w:p>
      <w:pPr>
        <w:jc w:val="left"/>
      </w:pPr>
      <w:r>
        <w:t>§ 134 BGB</w:t>
      </w:r>
    </w:p>
    <w:p>
      <w:pPr>
        <w:jc w:val="left"/>
      </w:pPr>
      <w:r>
        <w:t>├── Tatbestand: Verstoß gegen gesetzliches Verbot</w:t>
      </w:r>
    </w:p>
    <w:p>
      <w:pPr>
        <w:jc w:val="left"/>
      </w:pPr>
      <w:r>
        <w:t>│   ├── Gesetzliches Verbot: § 23 Abs. 1c StVO (+)</w:t>
      </w:r>
    </w:p>
    <w:p>
      <w:pPr>
        <w:jc w:val="left"/>
      </w:pPr>
      <w:r>
        <w:t>│   └── Verstoß durch Werkvertrag: (–) [einseitiges Verbot]</w:t>
      </w:r>
    </w:p>
    <w:p>
      <w:pPr>
        <w:jc w:val="left"/>
      </w:pPr>
      <w:r>
        <w:t>└── Rechtsfolge: Nichtigkeit (–) [greift nicht]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IV. Ergebnis des Falls</w:t>
      </w:r>
    </w:p>
    <w:p>
      <w:pPr>
        <w:jc w:val="left"/>
      </w:pPr>
      <w:r>
        <w:t>Lars Tannenmoor hat gegen Veit Sauer-Hellbrunn einen Werklohnanspruch in Höhe von 2.380 EUR brutto (§ 631 Abs. 1 BGB). § 134 BGB i.V.m. § 23 Abs. 1c StVO führt nicht zur Nichtigkeit des Werkvertrags. Alle Auslegungskanones und die Rechtsfortbildungsanalyse stützen dieses Ergebnis. Schadensersatzansprüche des Sauer-Hellbrunn scheiden mangels Verletzungshandlung des Tannenmoor aus.</w:t>
      </w:r>
    </w:p>
    <w:p>
      <w:pPr>
        <w:pStyle w:val="Heading2"/>
      </w:pPr>
      <w:r>
        <w:rPr>
          <w:rFonts w:ascii="Times New Roman" w:hAnsi="Times New Roman"/>
        </w:rPr>
        <w:t>V. Methodischer Ertrag für die Ausbildung</w:t>
      </w:r>
    </w:p>
    <w:p>
      <w:pPr>
        <w:jc w:val="left"/>
      </w:pPr>
      <w:r>
        <w:t>Dieser Fall demonstriert:</w:t>
      </w:r>
    </w:p>
    <w:p>
      <w:pPr>
        <w:pStyle w:val="ListNumber"/>
      </w:pPr>
      <w:r>
        <w:t>Die Hierarchie und das Zusammenspiel der vier Auslegungskanones</w:t>
      </w:r>
    </w:p>
    <w:p>
      <w:pPr>
        <w:pStyle w:val="ListNumber"/>
      </w:pPr>
      <w:r>
        <w:t>Die Bedeutung der Schutzzwecklehre im Rahmen des § 134 BGB</w:t>
      </w:r>
    </w:p>
    <w:p>
      <w:pPr>
        <w:pStyle w:val="ListNumber"/>
      </w:pPr>
      <w:r>
        <w:t>Die Abgrenzung einseitiger vs. beiderseitiger Verbotsgesetze</w:t>
      </w:r>
    </w:p>
    <w:p>
      <w:pPr>
        <w:pStyle w:val="ListNumber"/>
      </w:pPr>
      <w:r>
        <w:t>Die Methode der Analogie und ihre Grenzen</w:t>
      </w:r>
    </w:p>
    <w:p>
      <w:pPr>
        <w:pStyle w:val="ListNumber"/>
      </w:pPr>
      <w:r>
        <w:t>Die teleologische Reduktion als Instrument gegen „Wortlautüberschuss"</w:t>
      </w:r>
    </w:p>
    <w:p>
      <w:pPr>
        <w:pStyle w:val="ListNumber"/>
      </w:pPr>
      <w:r>
        <w:t>Die Rolle der verfassungskonformen Auslegung im Privatrecht</w:t>
      </w:r>
    </w:p>
    <w:p>
      <w:pPr>
        <w:pStyle w:val="ListNumber"/>
      </w:pPr>
      <w:r>
        <w:t>Die Konkurrenz verschiedener Anspruchsgrundlagen (Werkvertrag, Bereicherung, Deliktsrecht)</w:t>
      </w:r>
    </w:p>
    <w:p>
      <w:pPr>
        <w:pStyle w:val="Heading2"/>
      </w:pPr>
      <w:r>
        <w:rPr>
          <w:rFonts w:ascii="Times New Roman" w:hAnsi="Times New Roman"/>
        </w:rPr>
        <w:t>VI. Quellen</w:t>
      </w:r>
    </w:p>
    <w:p>
      <w:pPr>
        <w:pStyle w:val="ListBullet"/>
      </w:pPr>
      <w:r>
        <w:t>BGB §§ 133, 134, 157, 631, 633, 812, 817, 823: https://dejure.org/gesetze/BGB/</w:t>
      </w:r>
    </w:p>
    <w:p>
      <w:pPr>
        <w:pStyle w:val="ListBullet"/>
      </w:pPr>
      <w:r>
        <w:t>GG Art. 12: https://www.gesetze-im-internet.de/gg/art_12.html</w:t>
      </w:r>
    </w:p>
    <w:p>
      <w:pPr>
        <w:pStyle w:val="ListBullet"/>
      </w:pPr>
      <w:r>
        <w:t>§ 23 StVO: https://dejure.org/gesetze/StVO/23.html</w:t>
      </w:r>
    </w:p>
    <w:p>
      <w:pPr>
        <w:pStyle w:val="ListBullet"/>
      </w:pPr>
      <w:r>
        <w:t>BGH VII ZR 235/15: https://www.bundesgerichtshof.de/</w:t>
      </w:r>
    </w:p>
    <w:p>
      <w:pPr>
        <w:pStyle w:val="ListBullet"/>
      </w:pPr>
      <w:r>
        <w:t>Larenz/Canaris, Methodenlehre, 3. Aufl. 1995</w:t>
      </w:r>
    </w:p>
    <w:p>
      <w:pPr>
        <w:pStyle w:val="ListBullet"/>
      </w:pPr>
      <w:r>
        <w:t>Medicus/Petersen, AT BGB, 11. Aufl. 2016</w:t>
      </w:r>
    </w:p>
    <w:p>
      <w:pPr>
        <w:pStyle w:val="ListBullet"/>
      </w:pPr>
      <w:r>
        <w:t>Rüthers/Fischer/Birk, Rechtstheorie, 12. Aufl. 2022</w:t>
      </w:r>
    </w:p>
    <w:p>
      <w:pPr>
        <w:pStyle w:val="ListBullet"/>
      </w:pPr>
      <w:r>
        <w:t>dejure.org: https://dejure.org/</w:t>
      </w:r>
    </w:p>
    <w:p>
      <w:pPr>
        <w:pStyle w:val="ListBullet"/>
      </w:pPr>
      <w:r>
        <w:t>openjur.de: https://openjur.de/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