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Partnervermerk — Methodenstrategie im Radarwarner-Komplex</w:t>
      </w:r>
    </w:p>
    <w:p>
      <w:pPr>
        <w:jc w:val="left"/>
      </w:pPr>
      <w:r>
        <w:rPr>
          <w:b/>
        </w:rPr>
        <w:t>Kanzlei:</w:t>
      </w:r>
      <w:r>
        <w:t xml:space="preserve"> Roosendaal &amp; Birkenhainer, Bonn</w:t>
      </w:r>
    </w:p>
    <w:p>
      <w:pPr>
        <w:jc w:val="left"/>
      </w:pPr>
      <w:r>
        <w:rPr>
          <w:b/>
        </w:rPr>
        <w:t>Bearbeiter:</w:t>
      </w:r>
      <w:r>
        <w:t xml:space="preserve"> RA Dr. Mark Roosendaal</w:t>
      </w:r>
    </w:p>
    <w:p>
      <w:pPr>
        <w:jc w:val="left"/>
      </w:pPr>
      <w:r>
        <w:rPr>
          <w:b/>
        </w:rPr>
        <w:t>Datum:</w:t>
      </w:r>
      <w:r>
        <w:t xml:space="preserve"> 07.05.2026, 18:40 Uhr</w:t>
      </w:r>
    </w:p>
    <w:p>
      <w:pPr>
        <w:pStyle w:val="Heading2"/>
      </w:pPr>
      <w:r>
        <w:rPr>
          <w:rFonts w:ascii="Times New Roman" w:hAnsi="Times New Roman"/>
        </w:rPr>
        <w:t>Ausgangspunkt</w:t>
      </w:r>
    </w:p>
    <w:p>
      <w:pPr>
        <w:jc w:val="left"/>
      </w:pPr>
      <w:r>
        <w:t>Der Fall wirkt auf den ersten Blick wie eine einfache Frage: Werklohn trotz verbotsnaher Leistung. Tatsächlich ist er methodisch heikel, weil mehrere Ebenen ineinandergreifen: Werkvertragsrecht, Verbotsgesetz, Rückabwicklung, Delikt, öffentlich-rechtliches Ordnungsrecht und richterrechtliche Korrektur.</w:t>
      </w:r>
    </w:p>
    <w:p>
      <w:pPr>
        <w:pStyle w:val="Heading2"/>
      </w:pPr>
      <w:r>
        <w:rPr>
          <w:rFonts w:ascii="Times New Roman" w:hAnsi="Times New Roman"/>
        </w:rPr>
        <w:t>Arbeitsauftrag an die Associate-Ebene</w:t>
      </w:r>
    </w:p>
    <w:p>
      <w:pPr>
        <w:pStyle w:val="ListNumber"/>
      </w:pPr>
      <w:r>
        <w:t>Nicht mit Gerechtigkeitsgefühl beginnen. Zuerst Normtext und Anspruchsreihenfolge.</w:t>
      </w:r>
    </w:p>
    <w:p>
      <w:pPr>
        <w:pStyle w:val="ListNumber"/>
      </w:pPr>
      <w:r>
        <w:t>§ 134 BGB nicht als Allzweckwaffe verwenden; Verbotszweck bestimmen.</w:t>
      </w:r>
    </w:p>
    <w:p>
      <w:pPr>
        <w:pStyle w:val="ListNumber"/>
      </w:pPr>
      <w:r>
        <w:t>Die Schwarzarbeits-Rechtsprechung nur als Vergleichsfolie einsetzen. Keine mechanische Übertragung.</w:t>
      </w:r>
    </w:p>
    <w:p>
      <w:pPr>
        <w:pStyle w:val="ListNumber"/>
      </w:pPr>
      <w:r>
        <w:t>§ 817 Satz 2 BGB nicht vergessen, aber Rückausnahmen methodisch offenlegen.</w:t>
      </w:r>
    </w:p>
    <w:p>
      <w:pPr>
        <w:pStyle w:val="ListNumber"/>
      </w:pPr>
      <w:r>
        <w:t>Die freiheitliche Lesart (Privatautonomie, Berufsausübung Werkstatt) und die ordnungsrechtliche Lesart (Sanktionszweck StVO) getrennt darstellen.</w:t>
      </w:r>
    </w:p>
    <w:p>
      <w:pPr>
        <w:pStyle w:val="ListNumber"/>
      </w:pPr>
      <w:r>
        <w:t>Am Ende eine Lösung bauen, die auch dann hält, wenn das Gericht die moralische Farbe des Radarwarners anders sieht.</w:t>
      </w:r>
    </w:p>
    <w:p>
      <w:pPr>
        <w:pStyle w:val="Heading2"/>
      </w:pPr>
      <w:r>
        <w:rPr>
          <w:rFonts w:ascii="Times New Roman" w:hAnsi="Times New Roman"/>
        </w:rPr>
        <w:t>Erwarteter Output</w:t>
      </w:r>
    </w:p>
    <w:p>
      <w:pPr>
        <w:pStyle w:val="ListBullet"/>
      </w:pPr>
      <w:r>
        <w:t>Zwei-Seiten-Kurzvotum</w:t>
      </w:r>
    </w:p>
    <w:p>
      <w:pPr>
        <w:pStyle w:val="ListBullet"/>
      </w:pPr>
      <w:r>
        <w:t>Methodenmatrix</w:t>
      </w:r>
    </w:p>
    <w:p>
      <w:pPr>
        <w:pStyle w:val="ListBullet"/>
      </w:pPr>
      <w:r>
        <w:t>Beweis- und Tatsachenlücken</w:t>
      </w:r>
    </w:p>
    <w:p>
      <w:pPr>
        <w:pStyle w:val="ListBullet"/>
      </w:pPr>
      <w:r>
        <w:t>Schriftsatzfähige Argumente für beide Seiten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