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Freiheitliche Lesart — Privatautonomie, Werklohn, Eingriffsgrenzen</w:t>
      </w:r>
    </w:p>
    <w:p>
      <w:pPr>
        <w:pStyle w:val="Heading2"/>
      </w:pPr>
      <w:r>
        <w:rPr>
          <w:rFonts w:ascii="Times New Roman" w:hAnsi="Times New Roman"/>
        </w:rPr>
        <w:t>These</w:t>
      </w:r>
    </w:p>
    <w:p>
      <w:pPr>
        <w:jc w:val="left"/>
      </w:pPr>
      <w:r>
        <w:t>Der Vertrag über den Einbau eines Radarwarners ist nicht automatisch als nichtig zu behandeln, nur weil die spätere Nutzung im Straßenverkehr ordnungswidrig sein kann. Die zivilrechtliche Nichtigkeit verlangt eine Rückbindung an den Zweck des Verbotsgesetzes.</w:t>
      </w:r>
    </w:p>
    <w:p>
      <w:pPr>
        <w:pStyle w:val="Heading2"/>
      </w:pPr>
      <w:r>
        <w:rPr>
          <w:rFonts w:ascii="Times New Roman" w:hAnsi="Times New Roman"/>
        </w:rPr>
        <w:t>Argumentationslinie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Prüfungspunkt</w:t>
            </w:r>
          </w:p>
        </w:tc>
        <w:tc>
          <w:tcPr>
            <w:tcW w:type="dxa" w:w="3024"/>
          </w:tcPr>
          <w:p>
            <w:r>
              <w:rPr>
                <w:rFonts w:ascii="Times New Roman" w:hAnsi="Times New Roman"/>
                <w:b/>
                <w:sz w:val="20"/>
              </w:rPr>
              <w:t>Freiheitlicher Akzent</w:t>
            </w:r>
          </w:p>
        </w:tc>
        <w:tc>
          <w:tcPr>
            <w:tcW w:type="dxa" w:w="3024"/>
          </w:tcPr>
          <w:p>
            <w:r>
              <w:rPr>
                <w:rFonts w:ascii="Times New Roman" w:hAnsi="Times New Roman"/>
                <w:b/>
                <w:sz w:val="20"/>
              </w:rPr>
              <w:t>Gegenkontrolle</w:t>
            </w:r>
          </w:p>
        </w:tc>
      </w:tr>
      <w:tr>
        <w:tc>
          <w:tcPr>
            <w:tcW w:type="dxa" w:w="3024"/>
          </w:tcPr>
          <w:p>
            <w:r>
              <w:rPr>
                <w:rFonts w:ascii="Times New Roman" w:hAnsi="Times New Roman"/>
                <w:sz w:val="20"/>
              </w:rPr>
              <w:t>Vertragsfreiheit</w:t>
            </w:r>
          </w:p>
        </w:tc>
        <w:tc>
          <w:tcPr>
            <w:tcW w:type="dxa" w:w="3024"/>
          </w:tcPr>
          <w:p>
            <w:r>
              <w:rPr>
                <w:rFonts w:ascii="Times New Roman" w:hAnsi="Times New Roman"/>
                <w:sz w:val="20"/>
              </w:rPr>
              <w:t>Parteien dürfen ungewöhnliche oder riskante Leistungen vereinbaren.</w:t>
            </w:r>
          </w:p>
        </w:tc>
        <w:tc>
          <w:tcPr>
            <w:tcW w:type="dxa" w:w="3024"/>
          </w:tcPr>
          <w:p>
            <w:r>
              <w:rPr>
                <w:rFonts w:ascii="Times New Roman" w:hAnsi="Times New Roman"/>
                <w:sz w:val="20"/>
              </w:rPr>
              <w:t>Zwingendes Recht und Verbotszweck bleiben vorrangig.</w:t>
            </w:r>
          </w:p>
        </w:tc>
      </w:tr>
      <w:tr>
        <w:tc>
          <w:tcPr>
            <w:tcW w:type="dxa" w:w="3024"/>
          </w:tcPr>
          <w:p>
            <w:r>
              <w:rPr>
                <w:rFonts w:ascii="Times New Roman" w:hAnsi="Times New Roman"/>
                <w:sz w:val="20"/>
              </w:rPr>
              <w:t>Berufsausübung der Werkstatt</w:t>
            </w:r>
          </w:p>
        </w:tc>
        <w:tc>
          <w:tcPr>
            <w:tcW w:type="dxa" w:w="3024"/>
          </w:tcPr>
          <w:p>
            <w:r>
              <w:rPr>
                <w:rFonts w:ascii="Times New Roman" w:hAnsi="Times New Roman"/>
                <w:sz w:val="20"/>
              </w:rPr>
              <w:t>Werkstatt erbringt technische Leistung, nicht zwingend Teilnahme am Verkehrsverstoß.</w:t>
            </w:r>
          </w:p>
        </w:tc>
        <w:tc>
          <w:tcPr>
            <w:tcW w:type="dxa" w:w="3024"/>
          </w:tcPr>
          <w:p>
            <w:r>
              <w:rPr>
                <w:rFonts w:ascii="Times New Roman" w:hAnsi="Times New Roman"/>
                <w:sz w:val="20"/>
              </w:rPr>
              <w:t>Kenntnis vom konkreten Einsatzzweck kann die Bewertung verschieben.</w:t>
            </w:r>
          </w:p>
        </w:tc>
      </w:tr>
      <w:tr>
        <w:tc>
          <w:tcPr>
            <w:tcW w:type="dxa" w:w="3024"/>
          </w:tcPr>
          <w:p>
            <w:r>
              <w:rPr>
                <w:rFonts w:ascii="Times New Roman" w:hAnsi="Times New Roman"/>
                <w:sz w:val="20"/>
              </w:rPr>
              <w:t>§ 134 BGB</w:t>
            </w:r>
          </w:p>
        </w:tc>
        <w:tc>
          <w:tcPr>
            <w:tcW w:type="dxa" w:w="3024"/>
          </w:tcPr>
          <w:p>
            <w:r>
              <w:rPr>
                <w:rFonts w:ascii="Times New Roman" w:hAnsi="Times New Roman"/>
                <w:sz w:val="20"/>
              </w:rPr>
              <w:t>Nichtigkeit nur, wenn Verbotszweck dies verlangt.</w:t>
            </w:r>
          </w:p>
        </w:tc>
        <w:tc>
          <w:tcPr>
            <w:tcW w:type="dxa" w:w="3024"/>
          </w:tcPr>
          <w:p>
            <w:r>
              <w:rPr>
                <w:rFonts w:ascii="Times New Roman" w:hAnsi="Times New Roman"/>
                <w:sz w:val="20"/>
              </w:rPr>
              <w:t>Wenn Gesetz beide Seiten treffen will, kippt die Lesart.</w:t>
            </w:r>
          </w:p>
        </w:tc>
      </w:tr>
      <w:tr>
        <w:tc>
          <w:tcPr>
            <w:tcW w:type="dxa" w:w="3024"/>
          </w:tcPr>
          <w:p>
            <w:r>
              <w:rPr>
                <w:rFonts w:ascii="Times New Roman" w:hAnsi="Times New Roman"/>
                <w:sz w:val="20"/>
              </w:rPr>
              <w:t>Rückabwicklung</w:t>
            </w:r>
          </w:p>
        </w:tc>
        <w:tc>
          <w:tcPr>
            <w:tcW w:type="dxa" w:w="3024"/>
          </w:tcPr>
          <w:p>
            <w:r>
              <w:rPr>
                <w:rFonts w:ascii="Times New Roman" w:hAnsi="Times New Roman"/>
                <w:sz w:val="20"/>
              </w:rPr>
              <w:t>Wer Leistung nutzt, soll sich nicht ohne Normgrund entziehen.</w:t>
            </w:r>
          </w:p>
        </w:tc>
        <w:tc>
          <w:tcPr>
            <w:tcW w:type="dxa" w:w="3024"/>
          </w:tcPr>
          <w:p>
            <w:r>
              <w:rPr>
                <w:rFonts w:ascii="Times New Roman" w:hAnsi="Times New Roman"/>
                <w:sz w:val="20"/>
              </w:rPr>
              <w:t>§ 817 Satz 2 BGB kann Sperre bilden.</w:t>
            </w:r>
          </w:p>
        </w:tc>
      </w:tr>
    </w:tbl>
    <w:p>
      <w:pPr>
        <w:pStyle w:val="Heading2"/>
      </w:pPr>
      <w:r>
        <w:rPr>
          <w:rFonts w:ascii="Times New Roman" w:hAnsi="Times New Roman"/>
        </w:rPr>
        <w:t>Schwache Stelle</w:t>
      </w:r>
    </w:p>
    <w:p>
      <w:pPr>
        <w:jc w:val="left"/>
      </w:pPr>
      <w:r>
        <w:t>Die Lesart darf nicht so tun, als sei der Radarwarner neutral wie ein Radio. Der Vertragszweck ist rechtlich schmutzig genug, dass ein Gericht sehr genau fragt, ob die Werkstatt den späteren ordnungswidrigen Einsatz bewusst gefördert hat.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