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Konservative Lesart — Gesetzesbindung und richterliche Zurückhaltung</w:t>
      </w:r>
    </w:p>
    <w:p>
      <w:pPr>
        <w:pStyle w:val="Heading2"/>
      </w:pPr>
      <w:r>
        <w:rPr>
          <w:rFonts w:ascii="Times New Roman" w:hAnsi="Times New Roman"/>
        </w:rPr>
        <w:t>Leitfrage</w:t>
      </w:r>
    </w:p>
    <w:p>
      <w:pPr>
        <w:jc w:val="left"/>
      </w:pPr>
      <w:r>
        <w:t>Darf das Gericht die zivilrechtlichen Folgen eines ordnungsrechtlich missbilligten Geschäfts frei korrigieren, oder muss es sehr genau am Regelungsplan von § 134 BGB, § 817 Satz 2 BGB und § 23 Abs. 1c StVO bleiben?</w:t>
      </w:r>
    </w:p>
    <w:p>
      <w:pPr>
        <w:pStyle w:val="Heading2"/>
      </w:pPr>
      <w:r>
        <w:rPr>
          <w:rFonts w:ascii="Times New Roman" w:hAnsi="Times New Roman"/>
        </w:rPr>
        <w:t>Prüfnotizen</w:t>
      </w:r>
    </w:p>
    <w:p>
      <w:pPr>
        <w:pStyle w:val="ListNumber"/>
      </w:pPr>
      <w:r>
        <w:rPr>
          <w:b/>
        </w:rPr>
        <w:t>Wortlaut:</w:t>
      </w:r>
      <w:r>
        <w:t xml:space="preserve"> § 23 Abs. 1c StVO adressiert das Betreiben oder betriebsbereite Mitführen im Fahrzeug. Der Einbauvertrag steht nicht wortgleich im Tatbestand.</w:t>
      </w:r>
    </w:p>
    <w:p>
      <w:pPr>
        <w:pStyle w:val="ListNumber"/>
      </w:pPr>
      <w:r>
        <w:rPr>
          <w:b/>
        </w:rPr>
        <w:t>System:</w:t>
      </w:r>
      <w:r>
        <w:t xml:space="preserve"> § 134 BGB übersetzt öffentlich-rechtliche Verbote nur dann in zivilrechtliche Nichtigkeit, wenn der Verbotszweck das fordert.</w:t>
      </w:r>
    </w:p>
    <w:p>
      <w:pPr>
        <w:pStyle w:val="ListNumber"/>
      </w:pPr>
      <w:r>
        <w:rPr>
          <w:b/>
        </w:rPr>
        <w:t>Institution:</w:t>
      </w:r>
      <w:r>
        <w:t xml:space="preserve"> Eine harte Sanktionierung über § 134 BGB darf nicht heimlich eine zusätzliche zivilrechtliche Strafe schaffen.</w:t>
      </w:r>
    </w:p>
    <w:p>
      <w:pPr>
        <w:pStyle w:val="ListNumber"/>
      </w:pPr>
      <w:r>
        <w:rPr>
          <w:b/>
        </w:rPr>
        <w:t>Rechtssicherheit:</w:t>
      </w:r>
      <w:r>
        <w:t xml:space="preserve"> Werkstätten, Händler und Versicherer brauchen vorhersehbare Kriterien: Kenntnis, Vertragszweck, konkrete Nutzung, Umgehungsnähe.</w:t>
      </w:r>
    </w:p>
    <w:p>
      <w:pPr>
        <w:pStyle w:val="ListNumber"/>
      </w:pPr>
      <w:r>
        <w:rPr>
          <w:b/>
        </w:rPr>
        <w:t>Grenze:</w:t>
      </w:r>
      <w:r>
        <w:t xml:space="preserve"> Wenn das Geschäft seinem Inhalt nach nur der Umgehung eines klaren Verkehrsverbots dient, ist Zurückhaltung nicht Gleichgültigkeit.</w:t>
      </w:r>
    </w:p>
    <w:p>
      <w:pPr>
        <w:pStyle w:val="Heading2"/>
      </w:pPr>
      <w:r>
        <w:rPr>
          <w:rFonts w:ascii="Times New Roman" w:hAnsi="Times New Roman"/>
        </w:rPr>
        <w:t>Ergebnisrichtung</w:t>
      </w:r>
    </w:p>
    <w:p>
      <w:pPr>
        <w:jc w:val="left"/>
      </w:pPr>
      <w:r>
        <w:t>Konservative Methodik zwingt zu enger, offen begründeter Prüfung: Keine automatische Nichtigkeit, aber auch keine Rettung allein aus Sympathie für Vertragsfreiheit.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