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Recherchelog — nur verifizierbare Rechtsprechung verwenden</w:t>
      </w:r>
    </w:p>
    <w:p>
      <w:pPr>
        <w:pStyle w:val="Heading2"/>
      </w:pPr>
      <w:r>
        <w:rPr>
          <w:rFonts w:ascii="Times New Roman" w:hAnsi="Times New Roman"/>
        </w:rPr>
        <w:t>Suchauftrag</w:t>
      </w:r>
    </w:p>
    <w:p>
      <w:pPr>
        <w:pStyle w:val="ListBullet"/>
      </w:pPr>
      <w:r>
        <w:t>BGH zu § 134 BGB und Schwarzarbeit als Vergleichsfall.</w:t>
      </w:r>
    </w:p>
    <w:p>
      <w:pPr>
        <w:pStyle w:val="ListBullet"/>
      </w:pPr>
      <w:r>
        <w:t>BGH zu Rückabwicklung gesetzeswidriger Verträge.</w:t>
      </w:r>
    </w:p>
    <w:p>
      <w:pPr>
        <w:pStyle w:val="ListBullet"/>
      </w:pPr>
      <w:r>
        <w:t>BVerfG zu Gesetzesbindung und Grenzen richterlicher Rechtsfortbildung.</w:t>
      </w:r>
    </w:p>
    <w:p>
      <w:pPr>
        <w:pStyle w:val="ListBullet"/>
      </w:pPr>
      <w:r>
        <w:t>Keine BeckRS-Nummern ohne Zugriff und Gegenprüfung.</w:t>
      </w:r>
    </w:p>
    <w:p>
      <w:pPr>
        <w:pStyle w:val="Heading2"/>
      </w:pPr>
      <w:r>
        <w:rPr>
          <w:rFonts w:ascii="Times New Roman" w:hAnsi="Times New Roman"/>
        </w:rPr>
        <w:t>Arbeitsregel</w:t>
      </w:r>
    </w:p>
    <w:p>
      <w:pPr>
        <w:jc w:val="left"/>
      </w:pPr>
      <w:r>
        <w:t>Jedes Zitat bekommt vor Ausgabe:</w:t>
      </w:r>
    </w:p>
    <w:p>
      <w:pPr>
        <w:pStyle w:val="ListNumber"/>
      </w:pPr>
      <w:r>
        <w:t>Gericht,</w:t>
      </w:r>
    </w:p>
    <w:p>
      <w:pPr>
        <w:pStyle w:val="ListNumber"/>
      </w:pPr>
      <w:r>
        <w:t>Entscheidungsform,</w:t>
      </w:r>
    </w:p>
    <w:p>
      <w:pPr>
        <w:pStyle w:val="ListNumber"/>
      </w:pPr>
      <w:r>
        <w:t>Datum,</w:t>
      </w:r>
    </w:p>
    <w:p>
      <w:pPr>
        <w:pStyle w:val="ListNumber"/>
      </w:pPr>
      <w:r>
        <w:t>Aktenzeichen,</w:t>
      </w:r>
    </w:p>
    <w:p>
      <w:pPr>
        <w:pStyle w:val="ListNumber"/>
      </w:pPr>
      <w:r>
        <w:t>Fundstelle oder offizieller/freier Link,</w:t>
      </w:r>
    </w:p>
    <w:p>
      <w:pPr>
        <w:pStyle w:val="ListNumber"/>
      </w:pPr>
      <w:r>
        <w:t>tragende Aussage in eigenen Worten,</w:t>
      </w:r>
    </w:p>
    <w:p>
      <w:pPr>
        <w:pStyle w:val="ListNumber"/>
      </w:pPr>
      <w:r>
        <w:t>Hinweis, ob die Entscheidung wirklich denselben Falltyp betrifft oder nur Vergleichsmaterial ist.</w:t>
      </w:r>
    </w:p>
    <w:p>
      <w:pPr>
        <w:pStyle w:val="Heading2"/>
      </w:pPr>
      <w:r>
        <w:rPr>
          <w:rFonts w:ascii="Times New Roman" w:hAnsi="Times New Roman"/>
        </w:rPr>
        <w:t>Offene Recherchefragen</w:t>
      </w:r>
    </w:p>
    <w:p>
      <w:pPr>
        <w:pStyle w:val="ListBullet"/>
      </w:pPr>
      <w:r>
        <w:t>Gibt es eine konkrete höchstrichterliche Entscheidung zu Radarwarner-Einbauverträgen oder nur zu verwandten verbotsnahen Verträgen?</w:t>
      </w:r>
    </w:p>
    <w:p>
      <w:pPr>
        <w:pStyle w:val="ListBullet"/>
      </w:pPr>
      <w:r>
        <w:t>Ist der Schwerpunkt Kauf/Werkleistung oder sitten-/verbotsrechtliche Zwecknähe?</w:t>
      </w:r>
    </w:p>
    <w:p>
      <w:pPr>
        <w:pStyle w:val="ListBullet"/>
      </w:pPr>
      <w:r>
        <w:t>Wie stark ist § 817 Satz 2 BGB in neueren Rückabwicklungsfällen noch zu handhaben?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