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Schriftsatzbausteine — beide Seiten</w:t>
      </w:r>
    </w:p>
    <w:p>
      <w:pPr>
        <w:pStyle w:val="Heading2"/>
      </w:pPr>
      <w:r>
        <w:rPr>
          <w:rFonts w:ascii="Times New Roman" w:hAnsi="Times New Roman"/>
        </w:rPr>
        <w:t>Für Tannenmoor</w:t>
      </w:r>
    </w:p>
    <w:p>
      <w:pPr>
        <w:jc w:val="left"/>
      </w:pPr>
      <w:r>
        <w:t>Der Werklohnanspruch ist nicht bereits deshalb ausgeschlossen, weil der Besteller später ein ordnungswidriges Verhalten im Straßenverkehr verwirklicht haben mag. § 134 BGB verlangt eine am Verbotszweck orientierte Prüfung. Der Normtext des § 23 Abs. 1c StVO knüpft an Nutzung und betriebsbereites Mitführen im Fahrzeug an. Eine zivilrechtliche Nichtigkeit des Werkvertrags folgt daraus nicht automatisch.</w:t>
      </w:r>
    </w:p>
    <w:p>
      <w:pPr>
        <w:pStyle w:val="Heading2"/>
      </w:pPr>
      <w:r>
        <w:rPr>
          <w:rFonts w:ascii="Times New Roman" w:hAnsi="Times New Roman"/>
        </w:rPr>
        <w:t>Für Sauer-Hellbrunn</w:t>
      </w:r>
    </w:p>
    <w:p>
      <w:pPr>
        <w:jc w:val="left"/>
      </w:pPr>
      <w:r>
        <w:t>Der Vertrag war seinem wirtschaftlichen Schwerpunkt nach auf die Herstellung eines betriebsbereiten Umgehungsinstruments gerichtet. Eine Trennung zwischen technischem Einbau und späterer Nutzung wäre künstlich, wenn beide Parteien den Einsatz im öffentlichen Straßenverkehr voraussetzten. Dann spricht der Verbotszweck dafür, die zivilrechtliche Durchsetzung nicht zu ermöglichen.</w:t>
      </w:r>
    </w:p>
    <w:p>
      <w:pPr>
        <w:pStyle w:val="Heading2"/>
      </w:pPr>
      <w:r>
        <w:rPr>
          <w:rFonts w:ascii="Times New Roman" w:hAnsi="Times New Roman"/>
        </w:rPr>
        <w:t>Neutrale richterliche Brücke</w:t>
      </w:r>
    </w:p>
    <w:p>
      <w:pPr>
        <w:jc w:val="left"/>
      </w:pPr>
      <w:r>
        <w:t>Entscheidend sind Kenntnis, Vertragszweck und objektive Zwecknähe. Weder die bloße moralische Missbilligung noch eine formalistische Abspaltung der Werkleistung genügt. Das Gericht muss den Verbotszweck konkret auf die zivilrechtliche Rechtsfolge beziehen.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