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Sachverhalt Mietverhältnis seit 2014, Leipzig-Plagwitz</w:t>
      </w:r>
    </w:p>
    <w:p>
      <w:pPr>
        <w:jc w:val="left"/>
      </w:pPr>
      <w:r>
        <w:rPr>
          <w:b/>
        </w:rPr>
        <w:t>Kanzlei-AZ:</w:t>
      </w:r>
      <w:r>
        <w:t xml:space="preserve"> KP-2026-0387</w:t>
      </w:r>
    </w:p>
    <w:p>
      <w:pPr>
        <w:jc w:val="left"/>
      </w:pPr>
      <w:r>
        <w:rPr>
          <w:b/>
        </w:rPr>
        <w:t>Bearbeiterin:</w:t>
      </w:r>
      <w:r>
        <w:t xml:space="preserve"> RAin Dr. Miriam Kupfer-Pfaff</w:t>
      </w:r>
    </w:p>
    <w:p>
      <w:pPr>
        <w:jc w:val="left"/>
      </w:pPr>
      <w:r>
        <w:rPr>
          <w:b/>
        </w:rPr>
        <w:t>Erstellt:</w:t>
      </w:r>
      <w:r>
        <w:t xml:space="preserve"> 16.01.2026</w:t>
      </w:r>
    </w:p>
    <w:p/>
    <w:p>
      <w:pPr>
        <w:pStyle w:val="Heading2"/>
      </w:pPr>
      <w:r>
        <w:rPr>
          <w:rFonts w:ascii="Times New Roman" w:hAnsi="Times New Roman"/>
        </w:rPr>
        <w:t>Das Objekt</w:t>
      </w:r>
    </w:p>
    <w:p>
      <w:pPr>
        <w:jc w:val="left"/>
      </w:pPr>
      <w:r>
        <w:rPr>
          <w:b/>
        </w:rPr>
        <w:t>Anschrift:</w:t>
      </w:r>
      <w:r>
        <w:t xml:space="preserve"> Rosenblütenstraße 17, 04229 Leipzig-Plagwitz</w:t>
      </w:r>
    </w:p>
    <w:p>
      <w:pPr>
        <w:jc w:val="left"/>
      </w:pPr>
      <w:r>
        <w:rPr>
          <w:b/>
        </w:rPr>
        <w:t>Baujahr:</w:t>
      </w:r>
      <w:r>
        <w:t xml:space="preserve"> 1908 (Gründerzeitaltbau, vier Vollgeschosse + Dachgeschoss)</w:t>
      </w:r>
    </w:p>
    <w:p>
      <w:pPr>
        <w:jc w:val="left"/>
      </w:pPr>
      <w:r>
        <w:rPr>
          <w:b/>
        </w:rPr>
        <w:t>Eigentümer/Vermieter:</w:t>
      </w:r>
      <w:r>
        <w:t xml:space="preserve"> Strassburger Immobilien GmbH, Käthe-Kollwitz-Str. 84, 04109 Leipzig</w:t>
      </w:r>
    </w:p>
    <w:p>
      <w:pPr>
        <w:jc w:val="left"/>
      </w:pPr>
      <w:r>
        <w:rPr>
          <w:b/>
        </w:rPr>
        <w:t>Geschäftsführer:</w:t>
      </w:r>
      <w:r>
        <w:t xml:space="preserve"> Klaus-Ulrich Strassburger-Pellbach</w:t>
      </w:r>
    </w:p>
    <w:p>
      <w:pPr>
        <w:jc w:val="left"/>
      </w:pPr>
      <w:r>
        <w:t>Das Gebäude umfasst 12 Wohneinheiten (WE) sowie drei Gewerbeeinheiten im Erdgeschoss. Es verfügt über einen Personenaufzug (Baujahr ca. 1999, Modernisierung 2011). Das Objekt liegt im Stadtteil Plagwitz, einem zentral gelegenen Gründerzeitviertel mit starker Aufwertungsdynamik seit ca. 2015.</w:t>
      </w:r>
    </w:p>
    <w:p/>
    <w:p>
      <w:pPr>
        <w:pStyle w:val="Heading2"/>
      </w:pPr>
      <w:r>
        <w:rPr>
          <w:rFonts w:ascii="Times New Roman" w:hAnsi="Times New Roman"/>
        </w:rPr>
        <w:t>Mietvertrag</w:t>
      </w:r>
    </w:p>
    <w:p>
      <w:pPr>
        <w:pStyle w:val="ListBullet"/>
      </w:pPr>
      <w:r>
        <w:rPr>
          <w:b/>
        </w:rPr>
        <w:t>Mietbeginn:</w:t>
      </w:r>
      <w:r>
        <w:t xml:space="preserve"> 01.03.2014</w:t>
      </w:r>
    </w:p>
    <w:p>
      <w:pPr>
        <w:pStyle w:val="ListBullet"/>
      </w:pPr>
      <w:r>
        <w:rPr>
          <w:b/>
        </w:rPr>
        <w:t>Wohnungsgröße laut Vertrag:</w:t>
      </w:r>
      <w:r>
        <w:t xml:space="preserve"> 78,50 m² (Aufmaß Mandant: ca. 79,2 m² — Differenz unerheblich)</w:t>
      </w:r>
    </w:p>
    <w:p>
      <w:pPr>
        <w:pStyle w:val="ListBullet"/>
      </w:pPr>
      <w:r>
        <w:rPr>
          <w:b/>
        </w:rPr>
        <w:t>Lage:</w:t>
      </w:r>
      <w:r>
        <w:t xml:space="preserve"> 3. Obergeschoss links</w:t>
      </w:r>
    </w:p>
    <w:p>
      <w:pPr>
        <w:pStyle w:val="ListBullet"/>
      </w:pPr>
      <w:r>
        <w:rPr>
          <w:b/>
        </w:rPr>
        <w:t>Zimmer:</w:t>
      </w:r>
      <w:r>
        <w:t xml:space="preserve"> 3,5 Zimmer (Wohnzimmer, Schlafzimmer, Arbeitszimmer/ehemaliges Kinderzimmer, Wohnküche, Bad, Flur)</w:t>
      </w:r>
    </w:p>
    <w:p>
      <w:pPr>
        <w:pStyle w:val="ListBullet"/>
      </w:pPr>
      <w:r>
        <w:rPr>
          <w:b/>
        </w:rPr>
        <w:t>Nettokaltmiete bei Einzug:</w:t>
      </w:r>
      <w:r>
        <w:t xml:space="preserve"> 6,40 EUR/m², gesamt 502,40 EUR/Monat</w:t>
      </w:r>
    </w:p>
    <w:p>
      <w:pPr>
        <w:pStyle w:val="ListBullet"/>
      </w:pPr>
      <w:r>
        <w:rPr>
          <w:b/>
        </w:rPr>
        <w:t>Aktuell geltende Nettokaltmiete:</w:t>
      </w:r>
      <w:r>
        <w:t xml:space="preserve"> 8,90 EUR/m², gesamt 698,65 EUR/Monat (nach Mieterhöhungsverlangen vom 15.02.2021, das Tannenkamp damals akzeptiert hatte)</w:t>
      </w:r>
    </w:p>
    <w:p>
      <w:pPr>
        <w:pStyle w:val="ListBullet"/>
      </w:pPr>
      <w:r>
        <w:rPr>
          <w:b/>
        </w:rPr>
        <w:t>Betriebskostenvorauszahlung:</w:t>
      </w:r>
      <w:r>
        <w:t xml:space="preserve"> 120,00 EUR/Monat (Abrechnungszeitraum Kalenderjahr)</w:t>
      </w:r>
    </w:p>
    <w:p>
      <w:pPr>
        <w:pStyle w:val="ListBullet"/>
      </w:pPr>
      <w:r>
        <w:rPr>
          <w:b/>
        </w:rPr>
        <w:t>Gesamtmiete warm (Vorauszahlung):</w:t>
      </w:r>
      <w:r>
        <w:t xml:space="preserve"> 818,65 EUR/Monat</w:t>
      </w:r>
    </w:p>
    <w:p>
      <w:pPr>
        <w:pStyle w:val="ListBullet"/>
      </w:pPr>
      <w:r>
        <w:rPr>
          <w:b/>
        </w:rPr>
        <w:t>Vermieter-Kündigung:</w:t>
      </w:r>
      <w:r>
        <w:t xml:space="preserve"> keine</w:t>
      </w:r>
    </w:p>
    <w:p>
      <w:pPr>
        <w:pStyle w:val="ListBullet"/>
      </w:pPr>
      <w:r>
        <w:rPr>
          <w:b/>
        </w:rPr>
        <w:t>Befristung:</w:t>
      </w:r>
      <w:r>
        <w:t xml:space="preserve"> keine; Mietverhältnis auf unbestimmte Zeit</w:t>
      </w:r>
    </w:p>
    <w:p/>
    <w:p>
      <w:pPr>
        <w:pStyle w:val="Heading2"/>
      </w:pPr>
      <w:r>
        <w:rPr>
          <w:rFonts w:ascii="Times New Roman" w:hAnsi="Times New Roman"/>
        </w:rPr>
        <w:t>Chronik des Mietverhältnisses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01.03.2014</w:t>
            </w:r>
          </w:p>
        </w:tc>
        <w:tc>
          <w:tcPr>
            <w:tcW w:type="dxa" w:w="4536"/>
          </w:tcPr>
          <w:p>
            <w:r>
              <w:rPr>
                <w:rFonts w:ascii="Times New Roman" w:hAnsi="Times New Roman"/>
                <w:sz w:val="20"/>
              </w:rPr>
              <w:t>Einzug Hannes Tannenkamp + Ehefrau Ilse Tannenkamp (geb. Grundhoff, verst. 17.07.2021)</w:t>
            </w:r>
          </w:p>
        </w:tc>
      </w:tr>
      <w:tr>
        <w:tc>
          <w:tcPr>
            <w:tcW w:type="dxa" w:w="4536"/>
          </w:tcPr>
          <w:p>
            <w:r>
              <w:rPr>
                <w:rFonts w:ascii="Times New Roman" w:hAnsi="Times New Roman"/>
                <w:sz w:val="20"/>
              </w:rPr>
              <w:t>2015</w:t>
            </w:r>
          </w:p>
        </w:tc>
        <w:tc>
          <w:tcPr>
            <w:tcW w:type="dxa" w:w="4536"/>
          </w:tcPr>
          <w:p>
            <w:r>
              <w:rPr>
                <w:rFonts w:ascii="Times New Roman" w:hAnsi="Times New Roman"/>
                <w:sz w:val="20"/>
              </w:rPr>
              <w:t>Erste Mängelanzeige: defekte Briefkastenanlage (behoben)</w:t>
            </w:r>
          </w:p>
        </w:tc>
      </w:tr>
      <w:tr>
        <w:tc>
          <w:tcPr>
            <w:tcW w:type="dxa" w:w="4536"/>
          </w:tcPr>
          <w:p>
            <w:r>
              <w:rPr>
                <w:rFonts w:ascii="Times New Roman" w:hAnsi="Times New Roman"/>
                <w:sz w:val="20"/>
              </w:rPr>
              <w:t>2017</w:t>
            </w:r>
          </w:p>
        </w:tc>
        <w:tc>
          <w:tcPr>
            <w:tcW w:type="dxa" w:w="4536"/>
          </w:tcPr>
          <w:p>
            <w:r>
              <w:rPr>
                <w:rFonts w:ascii="Times New Roman" w:hAnsi="Times New Roman"/>
                <w:sz w:val="20"/>
              </w:rPr>
              <w:t>Schriftwechsel wegen Trittschalldämmung Treppenhaus; Einigung außergerichtlich</w:t>
            </w:r>
          </w:p>
        </w:tc>
      </w:tr>
      <w:tr>
        <w:tc>
          <w:tcPr>
            <w:tcW w:type="dxa" w:w="4536"/>
          </w:tcPr>
          <w:p>
            <w:r>
              <w:rPr>
                <w:rFonts w:ascii="Times New Roman" w:hAnsi="Times New Roman"/>
                <w:sz w:val="20"/>
              </w:rPr>
              <w:t>2018</w:t>
            </w:r>
          </w:p>
        </w:tc>
        <w:tc>
          <w:tcPr>
            <w:tcW w:type="dxa" w:w="4536"/>
          </w:tcPr>
          <w:p>
            <w:r>
              <w:rPr>
                <w:rFonts w:ascii="Times New Roman" w:hAnsi="Times New Roman"/>
                <w:sz w:val="20"/>
              </w:rPr>
              <w:t>Routineerhöhung Betriebskostenvorauszahlung von 95 EUR auf 120 EUR</w:t>
            </w:r>
          </w:p>
        </w:tc>
      </w:tr>
      <w:tr>
        <w:tc>
          <w:tcPr>
            <w:tcW w:type="dxa" w:w="4536"/>
          </w:tcPr>
          <w:p>
            <w:r>
              <w:rPr>
                <w:rFonts w:ascii="Times New Roman" w:hAnsi="Times New Roman"/>
                <w:sz w:val="20"/>
              </w:rPr>
              <w:t>15.02.2021</w:t>
            </w:r>
          </w:p>
        </w:tc>
        <w:tc>
          <w:tcPr>
            <w:tcW w:type="dxa" w:w="4536"/>
          </w:tcPr>
          <w:p>
            <w:r>
              <w:rPr>
                <w:rFonts w:ascii="Times New Roman" w:hAnsi="Times New Roman"/>
                <w:sz w:val="20"/>
              </w:rPr>
              <w:t>Mieterhöhungsverlangen Vermieter: 6,40 EUR → 8,90 EUR/m² (Mietspiegel Leipzig 2020); Tannenkamp stimmt nach anwaltlicher Beratung durch Mieterbund zu</w:t>
            </w:r>
          </w:p>
        </w:tc>
      </w:tr>
      <w:tr>
        <w:tc>
          <w:tcPr>
            <w:tcW w:type="dxa" w:w="4536"/>
          </w:tcPr>
          <w:p>
            <w:r>
              <w:rPr>
                <w:rFonts w:ascii="Times New Roman" w:hAnsi="Times New Roman"/>
                <w:sz w:val="20"/>
              </w:rPr>
              <w:t>Juli 2021</w:t>
            </w:r>
          </w:p>
        </w:tc>
        <w:tc>
          <w:tcPr>
            <w:tcW w:type="dxa" w:w="4536"/>
          </w:tcPr>
          <w:p>
            <w:r>
              <w:rPr>
                <w:rFonts w:ascii="Times New Roman" w:hAnsi="Times New Roman"/>
                <w:sz w:val="20"/>
              </w:rPr>
              <w:t>Tod Ehefrau Ilse Tannenkamp; Herr Tannenkamp lebt seither allein in der Wohnung</w:t>
            </w:r>
          </w:p>
        </w:tc>
      </w:tr>
      <w:tr>
        <w:tc>
          <w:tcPr>
            <w:tcW w:type="dxa" w:w="4536"/>
          </w:tcPr>
          <w:p>
            <w:r>
              <w:rPr>
                <w:rFonts w:ascii="Times New Roman" w:hAnsi="Times New Roman"/>
                <w:sz w:val="20"/>
              </w:rPr>
              <w:t>August 2025</w:t>
            </w:r>
          </w:p>
        </w:tc>
        <w:tc>
          <w:tcPr>
            <w:tcW w:type="dxa" w:w="4536"/>
          </w:tcPr>
          <w:p>
            <w:r>
              <w:rPr>
                <w:rFonts w:ascii="Times New Roman" w:hAnsi="Times New Roman"/>
                <w:sz w:val="20"/>
              </w:rPr>
              <w:t>Tannenkamp meldet erstmals Schimmelflecken im Bad schriftlich per Einschreiben</w:t>
            </w:r>
          </w:p>
        </w:tc>
      </w:tr>
      <w:tr>
        <w:tc>
          <w:tcPr>
            <w:tcW w:type="dxa" w:w="4536"/>
          </w:tcPr>
          <w:p>
            <w:r>
              <w:rPr>
                <w:rFonts w:ascii="Times New Roman" w:hAnsi="Times New Roman"/>
                <w:sz w:val="20"/>
              </w:rPr>
              <w:t>September 2025</w:t>
            </w:r>
          </w:p>
        </w:tc>
        <w:tc>
          <w:tcPr>
            <w:tcW w:type="dxa" w:w="4536"/>
          </w:tcPr>
          <w:p>
            <w:r>
              <w:rPr>
                <w:rFonts w:ascii="Times New Roman" w:hAnsi="Times New Roman"/>
                <w:sz w:val="20"/>
              </w:rPr>
              <w:t>Zweite Mängelanzeige (Schimmel ausgeweitet auf ehemaliges Kinderzimmer)</w:t>
            </w:r>
          </w:p>
        </w:tc>
      </w:tr>
      <w:tr>
        <w:tc>
          <w:tcPr>
            <w:tcW w:type="dxa" w:w="4536"/>
          </w:tcPr>
          <w:p>
            <w:r>
              <w:rPr>
                <w:rFonts w:ascii="Times New Roman" w:hAnsi="Times New Roman"/>
                <w:sz w:val="20"/>
              </w:rPr>
              <w:t>Oktober 2025</w:t>
            </w:r>
          </w:p>
        </w:tc>
        <w:tc>
          <w:tcPr>
            <w:tcW w:type="dxa" w:w="4536"/>
          </w:tcPr>
          <w:p>
            <w:r>
              <w:rPr>
                <w:rFonts w:ascii="Times New Roman" w:hAnsi="Times New Roman"/>
                <w:sz w:val="20"/>
              </w:rPr>
              <w:t>Vermieter antwortet: empfiehlt häufigeres Lüften; veranlasst keine Besichtigung</w:t>
            </w:r>
          </w:p>
        </w:tc>
      </w:tr>
      <w:tr>
        <w:tc>
          <w:tcPr>
            <w:tcW w:type="dxa" w:w="4536"/>
          </w:tcPr>
          <w:p>
            <w:r>
              <w:rPr>
                <w:rFonts w:ascii="Times New Roman" w:hAnsi="Times New Roman"/>
                <w:sz w:val="20"/>
              </w:rPr>
              <w:t>November 2025</w:t>
            </w:r>
          </w:p>
        </w:tc>
        <w:tc>
          <w:tcPr>
            <w:tcW w:type="dxa" w:w="4536"/>
          </w:tcPr>
          <w:p>
            <w:r>
              <w:rPr>
                <w:rFonts w:ascii="Times New Roman" w:hAnsi="Times New Roman"/>
                <w:sz w:val="20"/>
              </w:rPr>
              <w:t>Tannenkamp lässt auf eigene Kosten Messprotokoll durch Bautrocknung Lehmann GmbH erstellen</w:t>
            </w:r>
          </w:p>
        </w:tc>
      </w:tr>
      <w:tr>
        <w:tc>
          <w:tcPr>
            <w:tcW w:type="dxa" w:w="4536"/>
          </w:tcPr>
          <w:p>
            <w:r>
              <w:rPr>
                <w:rFonts w:ascii="Times New Roman" w:hAnsi="Times New Roman"/>
                <w:sz w:val="20"/>
              </w:rPr>
              <w:t>22.12.2025</w:t>
            </w:r>
          </w:p>
        </w:tc>
        <w:tc>
          <w:tcPr>
            <w:tcW w:type="dxa" w:w="4536"/>
          </w:tcPr>
          <w:p>
            <w:r>
              <w:rPr>
                <w:rFonts w:ascii="Times New Roman" w:hAnsi="Times New Roman"/>
                <w:sz w:val="20"/>
              </w:rPr>
              <w:t>Modernisierungsankündigung Strassburger Immobilien GmbH (§ 555c BGB), Baubeginn geplant 01.04.2026</w:t>
            </w:r>
          </w:p>
        </w:tc>
      </w:tr>
      <w:tr>
        <w:tc>
          <w:tcPr>
            <w:tcW w:type="dxa" w:w="4536"/>
          </w:tcPr>
          <w:p>
            <w:r>
              <w:rPr>
                <w:rFonts w:ascii="Times New Roman" w:hAnsi="Times New Roman"/>
                <w:sz w:val="20"/>
              </w:rPr>
              <w:t>05.01.2026</w:t>
            </w:r>
          </w:p>
        </w:tc>
        <w:tc>
          <w:tcPr>
            <w:tcW w:type="dxa" w:w="4536"/>
          </w:tcPr>
          <w:p>
            <w:r>
              <w:rPr>
                <w:rFonts w:ascii="Times New Roman" w:hAnsi="Times New Roman"/>
                <w:sz w:val="20"/>
              </w:rPr>
              <w:t>Begleitschreiben mit angekündigter Mieterhöhung von 8,90 EUR auf 13,40 EUR/m² (Erhöhungsbetrag 3,04 EUR/m² nach § 559 BGB)</w:t>
            </w:r>
          </w:p>
        </w:tc>
      </w:tr>
      <w:tr>
        <w:tc>
          <w:tcPr>
            <w:tcW w:type="dxa" w:w="4536"/>
          </w:tcPr>
          <w:p>
            <w:r>
              <w:rPr>
                <w:rFonts w:ascii="Times New Roman" w:hAnsi="Times New Roman"/>
                <w:sz w:val="20"/>
              </w:rPr>
              <w:t>09.01.2026</w:t>
            </w:r>
          </w:p>
        </w:tc>
        <w:tc>
          <w:tcPr>
            <w:tcW w:type="dxa" w:w="4536"/>
          </w:tcPr>
          <w:p>
            <w:r>
              <w:rPr>
                <w:rFonts w:ascii="Times New Roman" w:hAnsi="Times New Roman"/>
                <w:sz w:val="20"/>
              </w:rPr>
              <w:t>Tannenkamp kontaktiert Kanzlei Kupfer-Pfaff</w:t>
            </w:r>
          </w:p>
        </w:tc>
      </w:tr>
      <w:tr>
        <w:tc>
          <w:tcPr>
            <w:tcW w:type="dxa" w:w="4536"/>
          </w:tcPr>
          <w:p>
            <w:r>
              <w:rPr>
                <w:rFonts w:ascii="Times New Roman" w:hAnsi="Times New Roman"/>
                <w:sz w:val="20"/>
              </w:rPr>
              <w:t>14.01.2026</w:t>
            </w:r>
          </w:p>
        </w:tc>
        <w:tc>
          <w:tcPr>
            <w:tcW w:type="dxa" w:w="4536"/>
          </w:tcPr>
          <w:p>
            <w:r>
              <w:rPr>
                <w:rFonts w:ascii="Times New Roman" w:hAnsi="Times New Roman"/>
                <w:sz w:val="20"/>
              </w:rPr>
              <w:t>Mandatsübernahme</w:t>
            </w:r>
          </w:p>
        </w:tc>
      </w:tr>
    </w:tbl>
    <w:p/>
    <w:p>
      <w:pPr>
        <w:pStyle w:val="Heading2"/>
      </w:pPr>
      <w:r>
        <w:rPr>
          <w:rFonts w:ascii="Times New Roman" w:hAnsi="Times New Roman"/>
        </w:rPr>
        <w:t>Beteiligte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Person / Institution</w:t>
            </w:r>
          </w:p>
        </w:tc>
        <w:tc>
          <w:tcPr>
            <w:tcW w:type="dxa" w:w="4536"/>
          </w:tcPr>
          <w:p>
            <w:r>
              <w:rPr>
                <w:rFonts w:ascii="Times New Roman" w:hAnsi="Times New Roman"/>
                <w:b/>
                <w:sz w:val="20"/>
              </w:rPr>
              <w:t>Rolle</w:t>
            </w:r>
          </w:p>
        </w:tc>
      </w:tr>
      <w:tr>
        <w:tc>
          <w:tcPr>
            <w:tcW w:type="dxa" w:w="4536"/>
          </w:tcPr>
          <w:p>
            <w:r>
              <w:rPr>
                <w:rFonts w:ascii="Times New Roman" w:hAnsi="Times New Roman"/>
                <w:sz w:val="20"/>
              </w:rPr>
              <w:t>Hannes Tannenkamp</w:t>
            </w:r>
          </w:p>
        </w:tc>
        <w:tc>
          <w:tcPr>
            <w:tcW w:type="dxa" w:w="4536"/>
          </w:tcPr>
          <w:p>
            <w:r>
              <w:rPr>
                <w:rFonts w:ascii="Times New Roman" w:hAnsi="Times New Roman"/>
                <w:sz w:val="20"/>
              </w:rPr>
              <w:t>Mandant (Mieter)</w:t>
            </w:r>
          </w:p>
        </w:tc>
      </w:tr>
      <w:tr>
        <w:tc>
          <w:tcPr>
            <w:tcW w:type="dxa" w:w="4536"/>
          </w:tcPr>
          <w:p>
            <w:r>
              <w:rPr>
                <w:rFonts w:ascii="Times New Roman" w:hAnsi="Times New Roman"/>
                <w:sz w:val="20"/>
              </w:rPr>
              <w:t>Strassburger Immobilien GmbH</w:t>
            </w:r>
          </w:p>
        </w:tc>
        <w:tc>
          <w:tcPr>
            <w:tcW w:type="dxa" w:w="4536"/>
          </w:tcPr>
          <w:p>
            <w:r>
              <w:rPr>
                <w:rFonts w:ascii="Times New Roman" w:hAnsi="Times New Roman"/>
                <w:sz w:val="20"/>
              </w:rPr>
              <w:t>Vermieter</w:t>
            </w:r>
          </w:p>
        </w:tc>
      </w:tr>
      <w:tr>
        <w:tc>
          <w:tcPr>
            <w:tcW w:type="dxa" w:w="4536"/>
          </w:tcPr>
          <w:p>
            <w:r>
              <w:rPr>
                <w:rFonts w:ascii="Times New Roman" w:hAnsi="Times New Roman"/>
                <w:sz w:val="20"/>
              </w:rPr>
              <w:t>Klaus-Ulrich Strassburger-Pellbach</w:t>
            </w:r>
          </w:p>
        </w:tc>
        <w:tc>
          <w:tcPr>
            <w:tcW w:type="dxa" w:w="4536"/>
          </w:tcPr>
          <w:p>
            <w:r>
              <w:rPr>
                <w:rFonts w:ascii="Times New Roman" w:hAnsi="Times New Roman"/>
                <w:sz w:val="20"/>
              </w:rPr>
              <w:t>Geschäftsführer Vermieter</w:t>
            </w:r>
          </w:p>
        </w:tc>
      </w:tr>
      <w:tr>
        <w:tc>
          <w:tcPr>
            <w:tcW w:type="dxa" w:w="4536"/>
          </w:tcPr>
          <w:p>
            <w:r>
              <w:rPr>
                <w:rFonts w:ascii="Times New Roman" w:hAnsi="Times New Roman"/>
                <w:sz w:val="20"/>
              </w:rPr>
              <w:t>RAin Dr. Miriam Kupfer-Pfaff</w:t>
            </w:r>
          </w:p>
        </w:tc>
        <w:tc>
          <w:tcPr>
            <w:tcW w:type="dxa" w:w="4536"/>
          </w:tcPr>
          <w:p>
            <w:r>
              <w:rPr>
                <w:rFonts w:ascii="Times New Roman" w:hAnsi="Times New Roman"/>
                <w:sz w:val="20"/>
              </w:rPr>
              <w:t>Bevollmächtigte Mandant</w:t>
            </w:r>
          </w:p>
        </w:tc>
      </w:tr>
      <w:tr>
        <w:tc>
          <w:tcPr>
            <w:tcW w:type="dxa" w:w="4536"/>
          </w:tcPr>
          <w:p>
            <w:r>
              <w:rPr>
                <w:rFonts w:ascii="Times New Roman" w:hAnsi="Times New Roman"/>
                <w:sz w:val="20"/>
              </w:rPr>
              <w:t>RA Dr. Ferdinand Boden-Kassau</w:t>
            </w:r>
          </w:p>
        </w:tc>
        <w:tc>
          <w:tcPr>
            <w:tcW w:type="dxa" w:w="4536"/>
          </w:tcPr>
          <w:p>
            <w:r>
              <w:rPr>
                <w:rFonts w:ascii="Times New Roman" w:hAnsi="Times New Roman"/>
                <w:sz w:val="20"/>
              </w:rPr>
              <w:t>Bevollmächtigter Vermieter (Kanzlei Boden-Kassau, Leipzig)</w:t>
            </w:r>
          </w:p>
        </w:tc>
      </w:tr>
      <w:tr>
        <w:tc>
          <w:tcPr>
            <w:tcW w:type="dxa" w:w="4536"/>
          </w:tcPr>
          <w:p>
            <w:r>
              <w:rPr>
                <w:rFonts w:ascii="Times New Roman" w:hAnsi="Times New Roman"/>
                <w:sz w:val="20"/>
              </w:rPr>
              <w:t>SV Dipl.-Ing. Rainer Schollbach</w:t>
            </w:r>
          </w:p>
        </w:tc>
        <w:tc>
          <w:tcPr>
            <w:tcW w:type="dxa" w:w="4536"/>
          </w:tcPr>
          <w:p>
            <w:r>
              <w:rPr>
                <w:rFonts w:ascii="Times New Roman" w:hAnsi="Times New Roman"/>
                <w:sz w:val="20"/>
              </w:rPr>
              <w:t>Sachverständiger Schimmelmykologie und Baukonstruktion</w:t>
            </w:r>
          </w:p>
        </w:tc>
      </w:tr>
      <w:tr>
        <w:tc>
          <w:tcPr>
            <w:tcW w:type="dxa" w:w="4536"/>
          </w:tcPr>
          <w:p>
            <w:r>
              <w:rPr>
                <w:rFonts w:ascii="Times New Roman" w:hAnsi="Times New Roman"/>
                <w:sz w:val="20"/>
              </w:rPr>
              <w:t>Mieterbund Leipzig e.V.</w:t>
            </w:r>
          </w:p>
        </w:tc>
        <w:tc>
          <w:tcPr>
            <w:tcW w:type="dxa" w:w="4536"/>
          </w:tcPr>
          <w:p>
            <w:r>
              <w:rPr>
                <w:rFonts w:ascii="Times New Roman" w:hAnsi="Times New Roman"/>
                <w:sz w:val="20"/>
              </w:rPr>
              <w:t>Interessenvertretung; hat Tannenkamp vermittelt</w:t>
            </w:r>
          </w:p>
        </w:tc>
      </w:tr>
      <w:tr>
        <w:tc>
          <w:tcPr>
            <w:tcW w:type="dxa" w:w="4536"/>
          </w:tcPr>
          <w:p>
            <w:r>
              <w:rPr>
                <w:rFonts w:ascii="Times New Roman" w:hAnsi="Times New Roman"/>
                <w:sz w:val="20"/>
              </w:rPr>
              <w:t>Quartiers-Initiative „Rettet den Kiez Plagwitz"</w:t>
            </w:r>
          </w:p>
        </w:tc>
        <w:tc>
          <w:tcPr>
            <w:tcW w:type="dxa" w:w="4536"/>
          </w:tcPr>
          <w:p>
            <w:r>
              <w:rPr>
                <w:rFonts w:ascii="Times New Roman" w:hAnsi="Times New Roman"/>
                <w:sz w:val="20"/>
              </w:rPr>
              <w:t>Politischer Kontext; Tannenkamp ist Sprecher</w:t>
            </w:r>
          </w:p>
        </w:tc>
      </w:tr>
      <w:tr>
        <w:tc>
          <w:tcPr>
            <w:tcW w:type="dxa" w:w="4536"/>
          </w:tcPr>
          <w:p>
            <w:r>
              <w:rPr>
                <w:rFonts w:ascii="Times New Roman" w:hAnsi="Times New Roman"/>
                <w:sz w:val="20"/>
              </w:rPr>
              <w:t>Mediatorin Dr. Lotte Finkenrath</w:t>
            </w:r>
          </w:p>
        </w:tc>
        <w:tc>
          <w:tcPr>
            <w:tcW w:type="dxa" w:w="4536"/>
          </w:tcPr>
          <w:p>
            <w:r>
              <w:rPr>
                <w:rFonts w:ascii="Times New Roman" w:hAnsi="Times New Roman"/>
                <w:sz w:val="20"/>
              </w:rPr>
              <w:t>Kommunale Mieterberatung Leipzig</w:t>
            </w:r>
          </w:p>
        </w:tc>
      </w:tr>
    </w:tbl>
    <w:p/>
    <w:p>
      <w:pPr>
        <w:pStyle w:val="Heading2"/>
      </w:pPr>
      <w:r>
        <w:rPr>
          <w:rFonts w:ascii="Times New Roman" w:hAnsi="Times New Roman"/>
        </w:rPr>
        <w:t>Rechtlicher Rahmen</w:t>
      </w:r>
    </w:p>
    <w:p>
      <w:pPr>
        <w:jc w:val="left"/>
      </w:pPr>
      <w:r>
        <w:t>Die Wohnung liegt in einem Gebiet, für das die Stadtrat Leipzig die Mietpreisbremse nach § 556d BGB ausgebracht hat (seit 01.03.2020). Die Kappungsgrenze nach § 558 Abs. 3 BGB ist auf 15 % in drei Jahren abgesenkt (Kappungsgrenzenverordnung Sachsen). Der Mietspiegel Leipzig 2026, herausgegeben durch die Stadtverwaltung Leipzig, ist qualifizierter Mietspiegel im Sinne des § 558d BGB und als Begründungsmittel für Mieterhöhungsverlangen anerkannt.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