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Härteeinwand Tannenkamp, § 555d Abs. 2 BGB</w:t>
      </w:r>
    </w:p>
    <w:p>
      <w:pPr>
        <w:jc w:val="left"/>
      </w:pPr>
      <w:r>
        <w:rPr>
          <w:b/>
        </w:rPr>
        <w:t>Kanzlei-AZ:</w:t>
      </w:r>
      <w:r>
        <w:t xml:space="preserve"> KP-2026-0387</w:t>
      </w:r>
    </w:p>
    <w:p>
      <w:pPr>
        <w:jc w:val="left"/>
      </w:pPr>
      <w:r>
        <w:rPr>
          <w:b/>
        </w:rPr>
        <w:t>Erstellt:</w:t>
      </w:r>
      <w:r>
        <w:t xml:space="preserve"> 20.01.2026</w:t>
      </w:r>
    </w:p>
    <w:p>
      <w:pPr>
        <w:jc w:val="left"/>
      </w:pPr>
      <w:r>
        <w:rPr>
          <w:b/>
        </w:rPr>
        <w:t>Versandt:</w:t>
      </w:r>
      <w:r>
        <w:t xml:space="preserve"> 21.01.2026 (Einschreiben + E-Mail an RA Boden-Kassau)</w:t>
      </w:r>
    </w:p>
    <w:p/>
    <w:p>
      <w:pPr>
        <w:pStyle w:val="Heading2"/>
      </w:pPr>
      <w:r>
        <w:rPr>
          <w:rFonts w:ascii="Times New Roman" w:hAnsi="Times New Roman"/>
        </w:rPr>
        <w:t>Rechtsgrundlage</w:t>
      </w:r>
    </w:p>
    <w:p>
      <w:pPr>
        <w:jc w:val="left"/>
      </w:pPr>
      <w:r>
        <w:t>§ 555d Abs. 2 BGB: Der Mieter kann die Duldung einer Modernisierungsmaßnahme verweigern, wenn diese für ihn, seine Familie oder einen anderen Angehörigen seines Haushalts eine Härte bedeuten würde, die auch unter Würdigung der berechtigten Interessen des Vermieters und anderer Mieter in dem Gebäude nicht zu rechtfertigen ist.</w:t>
      </w:r>
    </w:p>
    <w:p>
      <w:pPr>
        <w:jc w:val="left"/>
      </w:pPr>
      <w:r>
        <w:t>§ 574 BGB: Entsprechender Härtemaßstab für die Frage der Zumutbarkeit einer Mieterhöhung.</w:t>
      </w:r>
    </w:p>
    <w:p>
      <w:pPr>
        <w:jc w:val="left"/>
      </w:pPr>
      <w:r>
        <w:t>Einwandsfrist: Nach § 555d Abs. 3 Satz 1 BGB muss der Einwand spätestens bis zum Ablauf des Monats nach Zugang der Ankündigung erhoben werden. Ankündigung am 22.12.2025 zugegangen; Einwand bis 31.01.2026 (Montag) möglich. Vorliegendes Schreiben datiert vom 20.01.2026 — fristgerecht.</w:t>
      </w:r>
    </w:p>
    <w:p/>
    <w:p>
      <w:pPr>
        <w:pStyle w:val="Heading2"/>
      </w:pPr>
      <w:r>
        <w:rPr>
          <w:rFonts w:ascii="Times New Roman" w:hAnsi="Times New Roman"/>
        </w:rPr>
        <w:t>Sachverhalt zur finanziellen Situation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monatlich (netto)</w:t>
            </w:r>
          </w:p>
        </w:tc>
      </w:tr>
      <w:tr>
        <w:tc>
          <w:tcPr>
            <w:tcW w:type="dxa" w:w="4536"/>
          </w:tcPr>
          <w:p>
            <w:r>
              <w:rPr>
                <w:rFonts w:ascii="Times New Roman" w:hAnsi="Times New Roman"/>
                <w:sz w:val="20"/>
              </w:rPr>
              <w:t>Gesetzliche Rente (Deutschen Rentenversicherung)</w:t>
            </w:r>
          </w:p>
        </w:tc>
        <w:tc>
          <w:tcPr>
            <w:tcW w:type="dxa" w:w="4536"/>
          </w:tcPr>
          <w:p>
            <w:r>
              <w:rPr>
                <w:rFonts w:ascii="Times New Roman" w:hAnsi="Times New Roman"/>
                <w:sz w:val="20"/>
              </w:rPr>
              <w:t>1.418,00 EUR</w:t>
            </w:r>
          </w:p>
        </w:tc>
      </w:tr>
      <w:tr>
        <w:tc>
          <w:tcPr>
            <w:tcW w:type="dxa" w:w="4536"/>
          </w:tcPr>
          <w:p>
            <w:r>
              <w:rPr>
                <w:rFonts w:ascii="Times New Roman" w:hAnsi="Times New Roman"/>
                <w:sz w:val="20"/>
              </w:rPr>
              <w:t>Versorgungsrente Architektenkammer Sachsen</w:t>
            </w:r>
          </w:p>
        </w:tc>
        <w:tc>
          <w:tcPr>
            <w:tcW w:type="dxa" w:w="4536"/>
          </w:tcPr>
          <w:p>
            <w:r>
              <w:rPr>
                <w:rFonts w:ascii="Times New Roman" w:hAnsi="Times New Roman"/>
                <w:sz w:val="20"/>
              </w:rPr>
              <w:t>871,00 EUR</w:t>
            </w:r>
          </w:p>
        </w:tc>
      </w:tr>
      <w:tr>
        <w:tc>
          <w:tcPr>
            <w:tcW w:type="dxa" w:w="4536"/>
          </w:tcPr>
          <w:p>
            <w:r>
              <w:rPr>
                <w:rFonts w:ascii="Times New Roman" w:hAnsi="Times New Roman"/>
                <w:sz w:val="20"/>
              </w:rPr>
              <w:t>Gesamteinkommen netto</w:t>
            </w:r>
          </w:p>
        </w:tc>
        <w:tc>
          <w:tcPr>
            <w:tcW w:type="dxa" w:w="4536"/>
          </w:tcPr>
          <w:p>
            <w:r>
              <w:rPr>
                <w:rFonts w:ascii="Times New Roman" w:hAnsi="Times New Roman"/>
                <w:sz w:val="20"/>
              </w:rPr>
              <w:t>2.289,00 EUR</w:t>
            </w:r>
          </w:p>
        </w:tc>
      </w:tr>
      <w:tr>
        <w:tc>
          <w:tcPr>
            <w:tcW w:type="dxa" w:w="4536"/>
          </w:tcPr>
          <w:p>
            <w:r>
              <w:rPr>
                <w:rFonts w:ascii="Times New Roman" w:hAnsi="Times New Roman"/>
                <w:sz w:val="20"/>
              </w:rPr>
              <w:t>Aktuelle Nettokaltmiete</w:t>
            </w:r>
          </w:p>
        </w:tc>
        <w:tc>
          <w:tcPr>
            <w:tcW w:type="dxa" w:w="4536"/>
          </w:tcPr>
          <w:p>
            <w:r>
              <w:rPr>
                <w:rFonts w:ascii="Times New Roman" w:hAnsi="Times New Roman"/>
                <w:sz w:val="20"/>
              </w:rPr>
              <w:t>698,65 EUR</w:t>
            </w:r>
          </w:p>
        </w:tc>
      </w:tr>
      <w:tr>
        <w:tc>
          <w:tcPr>
            <w:tcW w:type="dxa" w:w="4536"/>
          </w:tcPr>
          <w:p>
            <w:r>
              <w:rPr>
                <w:rFonts w:ascii="Times New Roman" w:hAnsi="Times New Roman"/>
                <w:sz w:val="20"/>
              </w:rPr>
              <w:t>Betriebskostenvorauszahlung</w:t>
            </w:r>
          </w:p>
        </w:tc>
        <w:tc>
          <w:tcPr>
            <w:tcW w:type="dxa" w:w="4536"/>
          </w:tcPr>
          <w:p>
            <w:r>
              <w:rPr>
                <w:rFonts w:ascii="Times New Roman" w:hAnsi="Times New Roman"/>
                <w:sz w:val="20"/>
              </w:rPr>
              <w:t>120,00 EUR</w:t>
            </w:r>
          </w:p>
        </w:tc>
      </w:tr>
      <w:tr>
        <w:tc>
          <w:tcPr>
            <w:tcW w:type="dxa" w:w="4536"/>
          </w:tcPr>
          <w:p>
            <w:r>
              <w:rPr>
                <w:rFonts w:ascii="Times New Roman" w:hAnsi="Times New Roman"/>
                <w:sz w:val="20"/>
              </w:rPr>
              <w:t>Aktuelle Gesamtmietbelastung</w:t>
            </w:r>
          </w:p>
        </w:tc>
        <w:tc>
          <w:tcPr>
            <w:tcW w:type="dxa" w:w="4536"/>
          </w:tcPr>
          <w:p>
            <w:r>
              <w:rPr>
                <w:rFonts w:ascii="Times New Roman" w:hAnsi="Times New Roman"/>
                <w:sz w:val="20"/>
              </w:rPr>
              <w:t>818,65 EUR</w:t>
            </w:r>
          </w:p>
        </w:tc>
      </w:tr>
      <w:tr>
        <w:tc>
          <w:tcPr>
            <w:tcW w:type="dxa" w:w="4536"/>
          </w:tcPr>
          <w:p>
            <w:r>
              <w:rPr>
                <w:rFonts w:ascii="Times New Roman" w:hAnsi="Times New Roman"/>
                <w:sz w:val="20"/>
              </w:rPr>
              <w:t>Aktuelle Mietquote (Warm/Netto)</w:t>
            </w:r>
          </w:p>
        </w:tc>
        <w:tc>
          <w:tcPr>
            <w:tcW w:type="dxa" w:w="4536"/>
          </w:tcPr>
          <w:p>
            <w:r>
              <w:rPr>
                <w:rFonts w:ascii="Times New Roman" w:hAnsi="Times New Roman"/>
                <w:sz w:val="20"/>
              </w:rPr>
              <w:t>35,8 %</w:t>
            </w:r>
          </w:p>
        </w:tc>
      </w:tr>
    </w:tbl>
    <w:p>
      <w:pPr>
        <w:jc w:val="left"/>
      </w:pPr>
      <w:r>
        <w:rPr>
          <w:b/>
        </w:rPr>
        <w:t>Bei angekündigter Mieterhöhung: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monatlich (netto)</w:t>
            </w:r>
          </w:p>
        </w:tc>
      </w:tr>
      <w:tr>
        <w:tc>
          <w:tcPr>
            <w:tcW w:type="dxa" w:w="4536"/>
          </w:tcPr>
          <w:p>
            <w:r>
              <w:rPr>
                <w:rFonts w:ascii="Times New Roman" w:hAnsi="Times New Roman"/>
                <w:sz w:val="20"/>
              </w:rPr>
              <w:t>Neue Nettokaltmiete (angekündigt)</w:t>
            </w:r>
          </w:p>
        </w:tc>
        <w:tc>
          <w:tcPr>
            <w:tcW w:type="dxa" w:w="4536"/>
          </w:tcPr>
          <w:p>
            <w:r>
              <w:rPr>
                <w:rFonts w:ascii="Times New Roman" w:hAnsi="Times New Roman"/>
                <w:sz w:val="20"/>
              </w:rPr>
              <w:t>1.051,90 EUR</w:t>
            </w:r>
          </w:p>
        </w:tc>
      </w:tr>
      <w:tr>
        <w:tc>
          <w:tcPr>
            <w:tcW w:type="dxa" w:w="4536"/>
          </w:tcPr>
          <w:p>
            <w:r>
              <w:rPr>
                <w:rFonts w:ascii="Times New Roman" w:hAnsi="Times New Roman"/>
                <w:sz w:val="20"/>
              </w:rPr>
              <w:t>Betriebskostenvorauszahlung (unveränd.)</w:t>
            </w:r>
          </w:p>
        </w:tc>
        <w:tc>
          <w:tcPr>
            <w:tcW w:type="dxa" w:w="4536"/>
          </w:tcPr>
          <w:p>
            <w:r>
              <w:rPr>
                <w:rFonts w:ascii="Times New Roman" w:hAnsi="Times New Roman"/>
                <w:sz w:val="20"/>
              </w:rPr>
              <w:t>120,00 EUR</w:t>
            </w:r>
          </w:p>
        </w:tc>
      </w:tr>
      <w:tr>
        <w:tc>
          <w:tcPr>
            <w:tcW w:type="dxa" w:w="4536"/>
          </w:tcPr>
          <w:p>
            <w:r>
              <w:rPr>
                <w:rFonts w:ascii="Times New Roman" w:hAnsi="Times New Roman"/>
                <w:sz w:val="20"/>
              </w:rPr>
              <w:t>Neue Gesamtmietbelastung</w:t>
            </w:r>
          </w:p>
        </w:tc>
        <w:tc>
          <w:tcPr>
            <w:tcW w:type="dxa" w:w="4536"/>
          </w:tcPr>
          <w:p>
            <w:r>
              <w:rPr>
                <w:rFonts w:ascii="Times New Roman" w:hAnsi="Times New Roman"/>
                <w:sz w:val="20"/>
              </w:rPr>
              <w:t>1.171,90 EUR</w:t>
            </w:r>
          </w:p>
        </w:tc>
      </w:tr>
      <w:tr>
        <w:tc>
          <w:tcPr>
            <w:tcW w:type="dxa" w:w="4536"/>
          </w:tcPr>
          <w:p>
            <w:r>
              <w:rPr>
                <w:rFonts w:ascii="Times New Roman" w:hAnsi="Times New Roman"/>
                <w:sz w:val="20"/>
              </w:rPr>
              <w:t>Neue Mietquote (Warm/Netto)</w:t>
            </w:r>
          </w:p>
        </w:tc>
        <w:tc>
          <w:tcPr>
            <w:tcW w:type="dxa" w:w="4536"/>
          </w:tcPr>
          <w:p>
            <w:r>
              <w:rPr>
                <w:rFonts w:ascii="Times New Roman" w:hAnsi="Times New Roman"/>
                <w:sz w:val="20"/>
              </w:rPr>
              <w:t>51,2 %</w:t>
            </w:r>
          </w:p>
        </w:tc>
      </w:tr>
    </w:tbl>
    <w:p>
      <w:pPr>
        <w:jc w:val="left"/>
      </w:pPr>
      <w:r>
        <w:t>Eine Mietbelastungsquote von über 50 % des Nettoeinkommens übersteigt deutlich die allgemein anerkannte Belastungsgrenze von 30–35 % und begründet eine soziale Härte im Sinne des § 555d Abs. 2 BGB. Herr Tannenkamp verfügt über kein nennenswertes Vermögen; die Wohnung ist nicht im Eigentum. Lebenshaltungskosten (Lebensmittel, Medikamente, Krankenversicherung, Telekommunikation) betragen nach eigener Aufstellung ca. 880 EUR/Monat. Nach der angekündigten Mieterhöhung verblieben ihm lediglich ca. 237 EUR/Monat für alle übrigen Ausgaben.</w:t>
      </w:r>
    </w:p>
    <w:p/>
    <w:p>
      <w:pPr>
        <w:pStyle w:val="Heading2"/>
      </w:pPr>
      <w:r>
        <w:rPr>
          <w:rFonts w:ascii="Times New Roman" w:hAnsi="Times New Roman"/>
        </w:rPr>
        <w:t>Persönliche Umstände</w:t>
      </w:r>
    </w:p>
    <w:p>
      <w:pPr>
        <w:pStyle w:val="ListBullet"/>
      </w:pPr>
      <w:r>
        <w:rPr>
          <w:b/>
        </w:rPr>
        <w:t>Alter:</w:t>
      </w:r>
      <w:r>
        <w:t xml:space="preserve"> 74 Jahre (geb. 12.04.1951) — hohes Lebensalter erhöht Schutzwürdigkeit</w:t>
      </w:r>
    </w:p>
    <w:p>
      <w:pPr>
        <w:pStyle w:val="ListBullet"/>
      </w:pPr>
      <w:r>
        <w:rPr>
          <w:b/>
        </w:rPr>
        <w:t>Wohndauer:</w:t>
      </w:r>
      <w:r>
        <w:t xml:space="preserve"> seit 01.03.2014 — 12 Jahre Wohndauer begründen besondere Verwurzelung im sozialen Umfeld (§ 574 BGB)</w:t>
      </w:r>
    </w:p>
    <w:p>
      <w:pPr>
        <w:pStyle w:val="ListBullet"/>
      </w:pPr>
      <w:r>
        <w:rPr>
          <w:b/>
        </w:rPr>
        <w:t>Gesundheitlicher Zustand:</w:t>
      </w:r>
      <w:r>
        <w:t xml:space="preserve"> Herr Tannenkamp leidet an einer leichten Herzinsuffizienz und einem Bluthochdruck; Wohnungssuche und Umzug wären mit erheblichem gesundheitlichem Risiko verbunden (ärztliches Attest Dr. med. Hanna Freiwald, FA Innere Medizin, Leipzig, vom 18.01.2026 liegt vor)</w:t>
      </w:r>
    </w:p>
    <w:p>
      <w:pPr>
        <w:pStyle w:val="ListBullet"/>
      </w:pPr>
      <w:r>
        <w:rPr>
          <w:b/>
        </w:rPr>
        <w:t>Soziales Umfeld:</w:t>
      </w:r>
      <w:r>
        <w:t xml:space="preserve"> Tannenkamp ist seit dem Tod seiner Ehefrau auf Unterstützung durch das Nachbarschaftsnetzwerk in Plagwitz angewiesen; Aufzug und kurze Wege haben für ihn funktionale Bedeutung</w:t>
      </w:r>
    </w:p>
    <w:p/>
    <w:p>
      <w:pPr>
        <w:pStyle w:val="Heading2"/>
      </w:pPr>
      <w:r>
        <w:rPr>
          <w:rFonts w:ascii="Times New Roman" w:hAnsi="Times New Roman"/>
        </w:rPr>
        <w:t>Abwägung</w:t>
      </w:r>
    </w:p>
    <w:p>
      <w:pPr>
        <w:jc w:val="left"/>
      </w:pPr>
      <w:r>
        <w:t>Die angekündigte Mieterhöhung von 8,90 EUR auf 13,40 EUR/m² entspricht einem Anstieg von 50,6 %. Selbst wenn die Maßnahme nach § 559 BGB an sich zulässig ist (was inhaltlich bezweifelt wird, s. Aktenstück 05), trifft die Erhöhung Tannenkamp in einem Maß, das ihm wirtschaftlich und sozial nicht zumutbar ist.</w:t>
      </w:r>
    </w:p>
    <w:p>
      <w:pPr>
        <w:pStyle w:val="Heading3"/>
      </w:pPr>
      <w:r>
        <w:rPr>
          <w:rFonts w:ascii="Times New Roman" w:hAnsi="Times New Roman"/>
        </w:rPr>
        <w:t>Gegeninteressen Vermieter</w:t>
      </w:r>
    </w:p>
    <w:p>
      <w:pPr>
        <w:jc w:val="left"/>
      </w:pPr>
      <w:r>
        <w:t>Der Vermieter führt an, die Modernisierung sei zur Erfüllung gesetzlicher Energiesparvorgaben erforderlich. Dies ist ein legitimes Interesse. Allerdings sind im Rahmen der Abwägung auch die Interessen der übrigen 11 Mieter des Hauses zu berücksichtigen, von denen nach Angaben der Quartiers-Initiative mindestens 5 weitere Haushalte in vergleichbaren wirtschaftlichen Verhältnissen leben.</w:t>
      </w:r>
    </w:p>
    <w:p>
      <w:pPr>
        <w:pStyle w:val="Heading3"/>
      </w:pPr>
      <w:r>
        <w:rPr>
          <w:rFonts w:ascii="Times New Roman" w:hAnsi="Times New Roman"/>
        </w:rPr>
        <w:t>Ergebnis</w:t>
      </w:r>
    </w:p>
    <w:p>
      <w:pPr>
        <w:jc w:val="left"/>
      </w:pPr>
      <w:r>
        <w:t>Der Härteeinwand ist begründet. Beantragt wird:</w:t>
      </w:r>
    </w:p>
    <w:p>
      <w:pPr>
        <w:pStyle w:val="ListNumber"/>
      </w:pPr>
      <w:r>
        <w:t>Begrenzung der Mieterhöhung nach § 559 Abs. 4 BGB (wirtschaftliche Unzumutbarkeit) auf einen Betrag, der eine Mietbelastungsquote von max. 35 % des Nettoeinkommens nicht übersteigt, d.h. Nettokaltmiete max. ca. 801 EUR/Monat (entspricht ca. 10,20 EUR/m²).</w:t>
      </w:r>
    </w:p>
    <w:p>
      <w:pPr>
        <w:pStyle w:val="ListNumber"/>
      </w:pPr>
      <w:r>
        <w:t>Hilfsweise: Stufenweise Erhöhung über mehrere Jahre (§ 559 Abs. 5 BGB analog).</w:t>
      </w:r>
    </w:p>
    <w:p>
      <w:pPr>
        <w:pStyle w:val="ListNumber"/>
      </w:pPr>
      <w:r>
        <w:t>Hilfsweise: Befreiung von der Duldungspflicht für die Fenstermaßnahme, sofern deren Notwendigkeit nicht nachgewiesen ist.</w:t>
      </w:r>
    </w:p>
    <w:p/>
    <w:p>
      <w:pPr>
        <w:pStyle w:val="Heading2"/>
      </w:pPr>
      <w:r>
        <w:rPr>
          <w:rFonts w:ascii="Times New Roman" w:hAnsi="Times New Roman"/>
        </w:rPr>
        <w:t>Beilagen zu diesem Schreiben</w:t>
      </w:r>
    </w:p>
    <w:p>
      <w:pPr>
        <w:pStyle w:val="ListBullet"/>
      </w:pPr>
      <w:r>
        <w:t>Rentenbescheid Deutsche Rentenversicherung (aktuell, anonymisiert)</w:t>
      </w:r>
    </w:p>
    <w:p>
      <w:pPr>
        <w:pStyle w:val="ListBullet"/>
      </w:pPr>
      <w:r>
        <w:t>Versorgungsrentenbescheid Architektenkammer Sachsen (aktuell)</w:t>
      </w:r>
    </w:p>
    <w:p>
      <w:pPr>
        <w:pStyle w:val="ListBullet"/>
      </w:pPr>
      <w:r>
        <w:t>Ärztliches Attest Dr. Freiwald, 18.01.2026</w:t>
      </w:r>
    </w:p>
    <w:p>
      <w:pPr>
        <w:pStyle w:val="ListBullet"/>
      </w:pPr>
      <w:r>
        <w:t>Einkommens- und Ausgabenaufstellung Tannenkamp (eigenhändig, bestätigt)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