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 Prüfung Betriebskostenabrechnung 2024</w:t>
      </w:r>
    </w:p>
    <w:p>
      <w:pPr>
        <w:jc w:val="left"/>
      </w:pPr>
      <w:r>
        <w:rPr>
          <w:b/>
        </w:rPr>
        <w:t>Kanzlei-AZ:</w:t>
      </w:r>
      <w:r>
        <w:t xml:space="preserve"> KP-2026-0387</w:t>
      </w:r>
    </w:p>
    <w:p>
      <w:pPr>
        <w:jc w:val="left"/>
      </w:pPr>
      <w:r>
        <w:rPr>
          <w:b/>
        </w:rPr>
        <w:t>Erstellt:</w:t>
      </w:r>
      <w:r>
        <w:t xml:space="preserve"> 25.01.2026</w:t>
      </w:r>
    </w:p>
    <w:p>
      <w:pPr>
        <w:jc w:val="left"/>
      </w:pPr>
      <w:r>
        <w:rPr>
          <w:b/>
        </w:rPr>
        <w:t>Abrechnungszeitraum:</w:t>
      </w:r>
      <w:r>
        <w:t xml:space="preserve"> 01.01.2024 – 31.12.2024</w:t>
      </w:r>
    </w:p>
    <w:p>
      <w:pPr>
        <w:jc w:val="left"/>
      </w:pPr>
      <w:r>
        <w:rPr>
          <w:b/>
        </w:rPr>
        <w:t>Abrechnung zugegangen:</w:t>
      </w:r>
      <w:r>
        <w:t xml:space="preserve"> 28.11.2025 (innerhalb Jahresfrist § 556 Abs. 3 Satz 2 BGB)</w:t>
      </w:r>
    </w:p>
    <w:p/>
    <w:p>
      <w:pPr>
        <w:pStyle w:val="Heading2"/>
      </w:pPr>
      <w:r>
        <w:rPr>
          <w:rFonts w:ascii="Times New Roman" w:hAnsi="Times New Roman"/>
        </w:rPr>
        <w:t>Grundlagen</w:t>
      </w:r>
    </w:p>
    <w:p>
      <w:pPr>
        <w:jc w:val="left"/>
      </w:pPr>
      <w:r>
        <w:t>Die Betriebskostenabrechnung für 2024 weist eine Nachzahlung von 284,70 EUR aus. Der Mandant hat die Abrechnung nach Lektüre durch den Mieterbund Leipzig der Kanzlei zur vertieften Prüfung übergeben. Verteilerschlüssel laut Mietvertrag: Wohnfläche (Wohnungen) als Primärschlüssel; bei bestimmten Positionen „nach Verbrauch" (Wasser/Abwasser).</w:t>
      </w:r>
    </w:p>
    <w:p/>
    <w:p>
      <w:pPr>
        <w:pStyle w:val="Heading2"/>
      </w:pPr>
      <w:r>
        <w:rPr>
          <w:rFonts w:ascii="Times New Roman" w:hAnsi="Times New Roman"/>
        </w:rPr>
        <w:t>Prüfungsergebnis — Position für Position</w:t>
      </w:r>
    </w:p>
    <w:p>
      <w:pPr>
        <w:pStyle w:val="Heading3"/>
      </w:pPr>
      <w:r>
        <w:rPr>
          <w:rFonts w:ascii="Times New Roman" w:hAnsi="Times New Roman"/>
        </w:rPr>
        <w:t>Unauffällige Positionen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Kostenart</w:t>
            </w:r>
          </w:p>
        </w:tc>
        <w:tc>
          <w:tcPr>
            <w:tcW w:type="dxa" w:w="2268"/>
          </w:tcPr>
          <w:p>
            <w:r>
              <w:rPr>
                <w:rFonts w:ascii="Times New Roman" w:hAnsi="Times New Roman"/>
                <w:b/>
                <w:sz w:val="20"/>
              </w:rPr>
              <w:t>Vermieter-Ansatz</w:t>
            </w:r>
          </w:p>
        </w:tc>
        <w:tc>
          <w:tcPr>
            <w:tcW w:type="dxa" w:w="2268"/>
          </w:tcPr>
          <w:p>
            <w:r>
              <w:rPr>
                <w:rFonts w:ascii="Times New Roman" w:hAnsi="Times New Roman"/>
                <w:b/>
                <w:sz w:val="20"/>
              </w:rPr>
              <w:t>Anteil Tannenkamp</w:t>
            </w:r>
          </w:p>
        </w:tc>
        <w:tc>
          <w:tcPr>
            <w:tcW w:type="dxa" w:w="2268"/>
          </w:tcPr>
          <w:p>
            <w:r>
              <w:rPr>
                <w:rFonts w:ascii="Times New Roman" w:hAnsi="Times New Roman"/>
                <w:b/>
                <w:sz w:val="20"/>
              </w:rPr>
              <w:t>Bewertung</w:t>
            </w:r>
          </w:p>
        </w:tc>
      </w:tr>
      <w:tr>
        <w:tc>
          <w:tcPr>
            <w:tcW w:type="dxa" w:w="2268"/>
          </w:tcPr>
          <w:p>
            <w:r>
              <w:rPr>
                <w:rFonts w:ascii="Times New Roman" w:hAnsi="Times New Roman"/>
                <w:sz w:val="20"/>
              </w:rPr>
              <w:t>Grundsteuer</w:t>
            </w:r>
          </w:p>
        </w:tc>
        <w:tc>
          <w:tcPr>
            <w:tcW w:type="dxa" w:w="2268"/>
          </w:tcPr>
          <w:p>
            <w:r>
              <w:rPr>
                <w:rFonts w:ascii="Times New Roman" w:hAnsi="Times New Roman"/>
                <w:sz w:val="20"/>
              </w:rPr>
              <w:t>3.240,00 EUR</w:t>
            </w:r>
          </w:p>
        </w:tc>
        <w:tc>
          <w:tcPr>
            <w:tcW w:type="dxa" w:w="2268"/>
          </w:tcPr>
          <w:p>
            <w:r>
              <w:rPr>
                <w:rFonts w:ascii="Times New Roman" w:hAnsi="Times New Roman"/>
                <w:sz w:val="20"/>
              </w:rPr>
              <w:t>187,60 EUR</w:t>
            </w:r>
          </w:p>
        </w:tc>
        <w:tc>
          <w:tcPr>
            <w:tcW w:type="dxa" w:w="2268"/>
          </w:tcPr>
          <w:p>
            <w:r>
              <w:rPr>
                <w:rFonts w:ascii="Times New Roman" w:hAnsi="Times New Roman"/>
                <w:sz w:val="20"/>
              </w:rPr>
              <w:t>Rechnerisch korrekt; Bescheid vorliegend</w:t>
            </w:r>
          </w:p>
        </w:tc>
      </w:tr>
      <w:tr>
        <w:tc>
          <w:tcPr>
            <w:tcW w:type="dxa" w:w="2268"/>
          </w:tcPr>
          <w:p>
            <w:r>
              <w:rPr>
                <w:rFonts w:ascii="Times New Roman" w:hAnsi="Times New Roman"/>
                <w:sz w:val="20"/>
              </w:rPr>
              <w:t>Gebäudeversicherung</w:t>
            </w:r>
          </w:p>
        </w:tc>
        <w:tc>
          <w:tcPr>
            <w:tcW w:type="dxa" w:w="2268"/>
          </w:tcPr>
          <w:p>
            <w:r>
              <w:rPr>
                <w:rFonts w:ascii="Times New Roman" w:hAnsi="Times New Roman"/>
                <w:sz w:val="20"/>
              </w:rPr>
              <w:t>2.880,00 EUR</w:t>
            </w:r>
          </w:p>
        </w:tc>
        <w:tc>
          <w:tcPr>
            <w:tcW w:type="dxa" w:w="2268"/>
          </w:tcPr>
          <w:p>
            <w:r>
              <w:rPr>
                <w:rFonts w:ascii="Times New Roman" w:hAnsi="Times New Roman"/>
                <w:sz w:val="20"/>
              </w:rPr>
              <w:t>166,82 EUR</w:t>
            </w:r>
          </w:p>
        </w:tc>
        <w:tc>
          <w:tcPr>
            <w:tcW w:type="dxa" w:w="2268"/>
          </w:tcPr>
          <w:p>
            <w:r>
              <w:rPr>
                <w:rFonts w:ascii="Times New Roman" w:hAnsi="Times New Roman"/>
                <w:sz w:val="20"/>
              </w:rPr>
              <w:t>Plausibel für Altbau</w:t>
            </w:r>
          </w:p>
        </w:tc>
      </w:tr>
      <w:tr>
        <w:tc>
          <w:tcPr>
            <w:tcW w:type="dxa" w:w="2268"/>
          </w:tcPr>
          <w:p>
            <w:r>
              <w:rPr>
                <w:rFonts w:ascii="Times New Roman" w:hAnsi="Times New Roman"/>
                <w:sz w:val="20"/>
              </w:rPr>
              <w:t>Wasser/Abwasser (Verbrauch)</w:t>
            </w:r>
          </w:p>
        </w:tc>
        <w:tc>
          <w:tcPr>
            <w:tcW w:type="dxa" w:w="2268"/>
          </w:tcPr>
          <w:p>
            <w:r>
              <w:rPr>
                <w:rFonts w:ascii="Times New Roman" w:hAnsi="Times New Roman"/>
                <w:sz w:val="20"/>
              </w:rPr>
              <w:t>5.440,00 EUR</w:t>
            </w:r>
          </w:p>
        </w:tc>
        <w:tc>
          <w:tcPr>
            <w:tcW w:type="dxa" w:w="2268"/>
          </w:tcPr>
          <w:p>
            <w:r>
              <w:rPr>
                <w:rFonts w:ascii="Times New Roman" w:hAnsi="Times New Roman"/>
                <w:sz w:val="20"/>
              </w:rPr>
              <w:t>261,12 EUR</w:t>
            </w:r>
          </w:p>
        </w:tc>
        <w:tc>
          <w:tcPr>
            <w:tcW w:type="dxa" w:w="2268"/>
          </w:tcPr>
          <w:p>
            <w:r>
              <w:rPr>
                <w:rFonts w:ascii="Times New Roman" w:hAnsi="Times New Roman"/>
                <w:sz w:val="20"/>
              </w:rPr>
              <w:t>Zählerbasiert; Verbrauchsnachweis liegt vor</w:t>
            </w:r>
          </w:p>
        </w:tc>
      </w:tr>
      <w:tr>
        <w:tc>
          <w:tcPr>
            <w:tcW w:type="dxa" w:w="2268"/>
          </w:tcPr>
          <w:p>
            <w:r>
              <w:rPr>
                <w:rFonts w:ascii="Times New Roman" w:hAnsi="Times New Roman"/>
                <w:sz w:val="20"/>
              </w:rPr>
              <w:t>Müllabfuhr</w:t>
            </w:r>
          </w:p>
        </w:tc>
        <w:tc>
          <w:tcPr>
            <w:tcW w:type="dxa" w:w="2268"/>
          </w:tcPr>
          <w:p>
            <w:r>
              <w:rPr>
                <w:rFonts w:ascii="Times New Roman" w:hAnsi="Times New Roman"/>
                <w:sz w:val="20"/>
              </w:rPr>
              <w:t>1.120,00 EUR</w:t>
            </w:r>
          </w:p>
        </w:tc>
        <w:tc>
          <w:tcPr>
            <w:tcW w:type="dxa" w:w="2268"/>
          </w:tcPr>
          <w:p>
            <w:r>
              <w:rPr>
                <w:rFonts w:ascii="Times New Roman" w:hAnsi="Times New Roman"/>
                <w:sz w:val="20"/>
              </w:rPr>
              <w:t>64,86 EUR</w:t>
            </w:r>
          </w:p>
        </w:tc>
        <w:tc>
          <w:tcPr>
            <w:tcW w:type="dxa" w:w="2268"/>
          </w:tcPr>
          <w:p>
            <w:r>
              <w:rPr>
                <w:rFonts w:ascii="Times New Roman" w:hAnsi="Times New Roman"/>
                <w:sz w:val="20"/>
              </w:rPr>
              <w:t>Plausibel</w:t>
            </w:r>
          </w:p>
        </w:tc>
      </w:tr>
      <w:tr>
        <w:tc>
          <w:tcPr>
            <w:tcW w:type="dxa" w:w="2268"/>
          </w:tcPr>
          <w:p>
            <w:r>
              <w:rPr>
                <w:rFonts w:ascii="Times New Roman" w:hAnsi="Times New Roman"/>
                <w:sz w:val="20"/>
              </w:rPr>
              <w:t>Hausmeister</w:t>
            </w:r>
          </w:p>
        </w:tc>
        <w:tc>
          <w:tcPr>
            <w:tcW w:type="dxa" w:w="2268"/>
          </w:tcPr>
          <w:p>
            <w:r>
              <w:rPr>
                <w:rFonts w:ascii="Times New Roman" w:hAnsi="Times New Roman"/>
                <w:sz w:val="20"/>
              </w:rPr>
              <w:t>4.680,00 EUR</w:t>
            </w:r>
          </w:p>
        </w:tc>
        <w:tc>
          <w:tcPr>
            <w:tcW w:type="dxa" w:w="2268"/>
          </w:tcPr>
          <w:p>
            <w:r>
              <w:rPr>
                <w:rFonts w:ascii="Times New Roman" w:hAnsi="Times New Roman"/>
                <w:sz w:val="20"/>
              </w:rPr>
              <w:t>271,06 EUR</w:t>
            </w:r>
          </w:p>
        </w:tc>
        <w:tc>
          <w:tcPr>
            <w:tcW w:type="dxa" w:w="2268"/>
          </w:tcPr>
          <w:p>
            <w:r>
              <w:rPr>
                <w:rFonts w:ascii="Times New Roman" w:hAnsi="Times New Roman"/>
                <w:sz w:val="20"/>
              </w:rPr>
              <w:t>Leistungsnachweis vorliegend</w:t>
            </w:r>
          </w:p>
        </w:tc>
      </w:tr>
      <w:tr>
        <w:tc>
          <w:tcPr>
            <w:tcW w:type="dxa" w:w="2268"/>
          </w:tcPr>
          <w:p>
            <w:r>
              <w:rPr>
                <w:rFonts w:ascii="Times New Roman" w:hAnsi="Times New Roman"/>
                <w:sz w:val="20"/>
              </w:rPr>
              <w:t>Treppenhausreinigung</w:t>
            </w:r>
          </w:p>
        </w:tc>
        <w:tc>
          <w:tcPr>
            <w:tcW w:type="dxa" w:w="2268"/>
          </w:tcPr>
          <w:p>
            <w:r>
              <w:rPr>
                <w:rFonts w:ascii="Times New Roman" w:hAnsi="Times New Roman"/>
                <w:sz w:val="20"/>
              </w:rPr>
              <w:t>1.560,00 EUR</w:t>
            </w:r>
          </w:p>
        </w:tc>
        <w:tc>
          <w:tcPr>
            <w:tcW w:type="dxa" w:w="2268"/>
          </w:tcPr>
          <w:p>
            <w:r>
              <w:rPr>
                <w:rFonts w:ascii="Times New Roman" w:hAnsi="Times New Roman"/>
                <w:sz w:val="20"/>
              </w:rPr>
              <w:t>90,33 EUR</w:t>
            </w:r>
          </w:p>
        </w:tc>
        <w:tc>
          <w:tcPr>
            <w:tcW w:type="dxa" w:w="2268"/>
          </w:tcPr>
          <w:p>
            <w:r>
              <w:rPr>
                <w:rFonts w:ascii="Times New Roman" w:hAnsi="Times New Roman"/>
                <w:sz w:val="20"/>
              </w:rPr>
              <w:t>Unauffällig</w:t>
            </w:r>
          </w:p>
        </w:tc>
      </w:tr>
      <w:tr>
        <w:tc>
          <w:tcPr>
            <w:tcW w:type="dxa" w:w="2268"/>
          </w:tcPr>
          <w:p>
            <w:r>
              <w:rPr>
                <w:rFonts w:ascii="Times New Roman" w:hAnsi="Times New Roman"/>
                <w:sz w:val="20"/>
              </w:rPr>
              <w:t>Gartenpflege / Hof</w:t>
            </w:r>
          </w:p>
        </w:tc>
        <w:tc>
          <w:tcPr>
            <w:tcW w:type="dxa" w:w="2268"/>
          </w:tcPr>
          <w:p>
            <w:r>
              <w:rPr>
                <w:rFonts w:ascii="Times New Roman" w:hAnsi="Times New Roman"/>
                <w:sz w:val="20"/>
              </w:rPr>
              <w:t>620,00 EUR</w:t>
            </w:r>
          </w:p>
        </w:tc>
        <w:tc>
          <w:tcPr>
            <w:tcW w:type="dxa" w:w="2268"/>
          </w:tcPr>
          <w:p>
            <w:r>
              <w:rPr>
                <w:rFonts w:ascii="Times New Roman" w:hAnsi="Times New Roman"/>
                <w:sz w:val="20"/>
              </w:rPr>
              <w:t>35,90 EUR</w:t>
            </w:r>
          </w:p>
        </w:tc>
        <w:tc>
          <w:tcPr>
            <w:tcW w:type="dxa" w:w="2268"/>
          </w:tcPr>
          <w:p>
            <w:r>
              <w:rPr>
                <w:rFonts w:ascii="Times New Roman" w:hAnsi="Times New Roman"/>
                <w:sz w:val="20"/>
              </w:rPr>
              <w:t>Unauffällig</w:t>
            </w:r>
          </w:p>
        </w:tc>
      </w:tr>
    </w:tbl>
    <w:p>
      <w:pPr>
        <w:pStyle w:val="Heading3"/>
      </w:pPr>
      <w:r>
        <w:rPr>
          <w:rFonts w:ascii="Times New Roman" w:hAnsi="Times New Roman"/>
        </w:rPr>
        <w:t>Beanstandete Position: Aufzugswartung und -betrieb</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Kostenart</w:t>
            </w:r>
          </w:p>
        </w:tc>
        <w:tc>
          <w:tcPr>
            <w:tcW w:type="dxa" w:w="2268"/>
          </w:tcPr>
          <w:p>
            <w:r>
              <w:rPr>
                <w:rFonts w:ascii="Times New Roman" w:hAnsi="Times New Roman"/>
                <w:b/>
                <w:sz w:val="20"/>
              </w:rPr>
              <w:t>Vermieter-Ansatz</w:t>
            </w:r>
          </w:p>
        </w:tc>
        <w:tc>
          <w:tcPr>
            <w:tcW w:type="dxa" w:w="2268"/>
          </w:tcPr>
          <w:p>
            <w:r>
              <w:rPr>
                <w:rFonts w:ascii="Times New Roman" w:hAnsi="Times New Roman"/>
                <w:b/>
                <w:sz w:val="20"/>
              </w:rPr>
              <w:t>Anteil Tannenkamp (laut Abrechnung)</w:t>
            </w:r>
          </w:p>
        </w:tc>
        <w:tc>
          <w:tcPr>
            <w:tcW w:type="dxa" w:w="2268"/>
          </w:tcPr>
          <w:p>
            <w:r>
              <w:rPr>
                <w:rFonts w:ascii="Times New Roman" w:hAnsi="Times New Roman"/>
                <w:b/>
                <w:sz w:val="20"/>
              </w:rPr>
              <w:t>Bewertung</w:t>
            </w:r>
          </w:p>
        </w:tc>
      </w:tr>
      <w:tr>
        <w:tc>
          <w:tcPr>
            <w:tcW w:type="dxa" w:w="2268"/>
          </w:tcPr>
          <w:p>
            <w:r>
              <w:rPr>
                <w:rFonts w:ascii="Times New Roman" w:hAnsi="Times New Roman"/>
                <w:sz w:val="20"/>
              </w:rPr>
              <w:t>Aufzugsbetrieb und Wartung</w:t>
            </w:r>
          </w:p>
        </w:tc>
        <w:tc>
          <w:tcPr>
            <w:tcW w:type="dxa" w:w="2268"/>
          </w:tcPr>
          <w:p>
            <w:r>
              <w:rPr>
                <w:rFonts w:ascii="Times New Roman" w:hAnsi="Times New Roman"/>
                <w:sz w:val="20"/>
              </w:rPr>
              <w:t>2.340,00 EUR</w:t>
            </w:r>
          </w:p>
        </w:tc>
        <w:tc>
          <w:tcPr>
            <w:tcW w:type="dxa" w:w="2268"/>
          </w:tcPr>
          <w:p>
            <w:r>
              <w:rPr>
                <w:rFonts w:ascii="Times New Roman" w:hAnsi="Times New Roman"/>
                <w:b/>
                <w:sz w:val="20"/>
              </w:rPr>
              <w:t>135,50 EUR</w:t>
            </w:r>
          </w:p>
        </w:tc>
        <w:tc>
          <w:tcPr>
            <w:tcW w:type="dxa" w:w="2268"/>
          </w:tcPr>
          <w:p>
            <w:r>
              <w:rPr>
                <w:rFonts w:ascii="Times New Roman" w:hAnsi="Times New Roman"/>
                <w:b/>
                <w:sz w:val="20"/>
              </w:rPr>
              <w:t>BEANSTANDET</w:t>
            </w:r>
          </w:p>
        </w:tc>
      </w:tr>
    </w:tbl>
    <w:p>
      <w:pPr>
        <w:jc w:val="left"/>
      </w:pPr>
      <w:r>
        <w:rPr>
          <w:b/>
        </w:rPr>
        <w:t>Beanstandung:</w:t>
      </w:r>
      <w:r>
        <w:t xml:space="preserve"> Der Vermieter verteilt die Aufzugskosten auf alle 12 Wohneinheiten nach Wohnfläche. Im Erdgeschoss befinden sich zwei Wohnungen (WE 1 und WE 2 = Erdgeschoss rechts und links). Die Mieter des Erdgeschosses haben zur Wohnung keinen Aufzugszugang (Aufzug startet im 1. OG, Erdgeschoss-Wohnungen werden direkt vom Erdgeschoss-Hausflur aus betreten, ohne Aufzugskabine nutzen zu können).</w:t>
      </w:r>
    </w:p>
    <w:p>
      <w:pPr>
        <w:jc w:val="left"/>
      </w:pPr>
      <w:r>
        <w:rPr>
          <w:b/>
        </w:rPr>
        <w:t>Rechtliche Grundlage:</w:t>
      </w:r>
    </w:p>
    <w:p>
      <w:pPr>
        <w:pStyle w:val="ListBullet"/>
      </w:pPr>
      <w:r>
        <w:t>BetrKV § 2 Nr. 7: Aufzugskosten sind betriebskostenfähig, sofern der Aufzug auch für den betreffenden Mieter nutzbar ist.</w:t>
      </w:r>
    </w:p>
    <w:p>
      <w:pPr>
        <w:pStyle w:val="ListBullet"/>
      </w:pPr>
      <w:r>
        <w:t>BGH VIII ZR 103/14 (Urt. v. 17.06.2015): Aufzugskosten dürfen nicht auf Erdgeschossmieter umgelegt werden, wenn der Aufzug für sie nicht zugänglich ist.</w:t>
      </w:r>
    </w:p>
    <w:p>
      <w:pPr>
        <w:pStyle w:val="ListBullet"/>
      </w:pPr>
      <w:r>
        <w:t>Folge: Die Aufzugskosten sind aus dem Verteilerschlüssel die zwei EG-Wohnungen herauszurechnen. Verbleibende Einheiten: 10 Wohneinheiten (10 OG-Wohnungen). Der Tannenkamp-Anteil erhöht sich rechnerisch geringfügig (von 1/12 auf 1/10 der Gesamtfläche der OG-Wohnungen), der absolute Betrag bleibt aber deutlich niedriger als wenn EG-Mieter mitzahlen.</w:t>
      </w:r>
    </w:p>
    <w:p>
      <w:pPr>
        <w:pStyle w:val="ListBullet"/>
      </w:pPr>
      <w:r>
        <w:t>Korrekturbetrag: Die EG-Mieter haben insgesamt zu Unrecht 2.340 EUR × (2 EG-WE-Fläche / Gesamtwohnfläche) = ca. 340 EUR gezahlt. Diese Summe ist den EG-Mietern gutzuschreiben und aus dem Gesamtbudget herauszurechnen.</w:t>
      </w:r>
    </w:p>
    <w:p>
      <w:pPr>
        <w:jc w:val="left"/>
      </w:pPr>
      <w:r>
        <w:rPr>
          <w:b/>
        </w:rPr>
        <w:t>Rechnerische Korrektur für Tannenkamp:</w:t>
      </w:r>
    </w:p>
    <w:p>
      <w:pPr>
        <w:pStyle w:val="ListBullet"/>
      </w:pPr>
      <w:r>
        <w:t>Ohne EG-Korrektur: Tannenkamp-Anteil = 135,50 EUR</w:t>
      </w:r>
    </w:p>
    <w:p>
      <w:pPr>
        <w:pStyle w:val="ListBullet"/>
      </w:pPr>
      <w:r>
        <w:t>Mit korrekter Verteilung (nur OG-Mieter): Tannenkamp-Anteil ≈ 146,30 EUR (leicht höher, da gleiche Kosten auf weniger Mieter)</w:t>
      </w:r>
    </w:p>
    <w:p>
      <w:pPr>
        <w:pStyle w:val="ListBullet"/>
      </w:pPr>
      <w:r>
        <w:t>Ergebnis für Tannenkamp: Kein direkter Vorteil bei dieser Position; Vorteil geht vollständig an die EG-Mieter. Tannenkamp hat jedoch Anlass, die Abrechnung insgesamt zu beanstanden, da die fehlerhafte Berechnung auf einen mangelhaften Umgang des Vermieters mit der BetrKV hinweist.</w:t>
      </w:r>
    </w:p>
    <w:p>
      <w:pPr>
        <w:pStyle w:val="Heading3"/>
      </w:pPr>
      <w:r>
        <w:rPr>
          <w:rFonts w:ascii="Times New Roman" w:hAnsi="Times New Roman"/>
        </w:rPr>
        <w:t>Beanstandete Position: Wartung Heizkörper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Kostenart</w:t>
            </w:r>
          </w:p>
        </w:tc>
        <w:tc>
          <w:tcPr>
            <w:tcW w:type="dxa" w:w="3024"/>
          </w:tcPr>
          <w:p>
            <w:r>
              <w:rPr>
                <w:rFonts w:ascii="Times New Roman" w:hAnsi="Times New Roman"/>
                <w:b/>
                <w:sz w:val="20"/>
              </w:rPr>
              <w:t>Vermieter-Ansatz</w:t>
            </w:r>
          </w:p>
        </w:tc>
        <w:tc>
          <w:tcPr>
            <w:tcW w:type="dxa" w:w="3024"/>
          </w:tcPr>
          <w:p>
            <w:r>
              <w:rPr>
                <w:rFonts w:ascii="Times New Roman" w:hAnsi="Times New Roman"/>
                <w:b/>
                <w:sz w:val="20"/>
              </w:rPr>
              <w:t>Bewertung</w:t>
            </w:r>
          </w:p>
        </w:tc>
      </w:tr>
      <w:tr>
        <w:tc>
          <w:tcPr>
            <w:tcW w:type="dxa" w:w="3024"/>
          </w:tcPr>
          <w:p>
            <w:r>
              <w:rPr>
                <w:rFonts w:ascii="Times New Roman" w:hAnsi="Times New Roman"/>
                <w:sz w:val="20"/>
              </w:rPr>
              <w:t>Wartung Thermostatventile (Heizkörper)</w:t>
            </w:r>
          </w:p>
        </w:tc>
        <w:tc>
          <w:tcPr>
            <w:tcW w:type="dxa" w:w="3024"/>
          </w:tcPr>
          <w:p>
            <w:r>
              <w:rPr>
                <w:rFonts w:ascii="Times New Roman" w:hAnsi="Times New Roman"/>
                <w:sz w:val="20"/>
              </w:rPr>
              <w:t>780,00 EUR</w:t>
            </w:r>
          </w:p>
        </w:tc>
        <w:tc>
          <w:tcPr>
            <w:tcW w:type="dxa" w:w="3024"/>
          </w:tcPr>
          <w:p>
            <w:r>
              <w:rPr>
                <w:rFonts w:ascii="Times New Roman" w:hAnsi="Times New Roman"/>
                <w:sz w:val="20"/>
              </w:rPr>
              <w:t>Fraglich: § 2 Nr. 5 BetrKV erfasst Heizungsanlage, nicht Thermostatventile in Wohnungen; ggf. nicht umlagefähig</w:t>
            </w:r>
          </w:p>
        </w:tc>
      </w:tr>
    </w:tbl>
    <w:p>
      <w:pPr>
        <w:jc w:val="left"/>
      </w:pPr>
      <w:r>
        <w:rPr>
          <w:b/>
        </w:rPr>
        <w:t>Hinweis:</w:t>
      </w:r>
      <w:r>
        <w:t xml:space="preserve"> Dies ist noch zu verifizieren; Rüge vorsorglich erhoben.</w:t>
      </w:r>
    </w:p>
    <w:p/>
    <w:p>
      <w:pPr>
        <w:pStyle w:val="Heading2"/>
      </w:pPr>
      <w:r>
        <w:rPr>
          <w:rFonts w:ascii="Times New Roman" w:hAnsi="Times New Roman"/>
        </w:rPr>
        <w:t>Formelle Prüfung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Kriterium</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Jahresfrist (§ 556 Abs. 3 Satz 2 BGB)</w:t>
            </w:r>
          </w:p>
        </w:tc>
        <w:tc>
          <w:tcPr>
            <w:tcW w:type="dxa" w:w="4536"/>
          </w:tcPr>
          <w:p>
            <w:r>
              <w:rPr>
                <w:rFonts w:ascii="Times New Roman" w:hAnsi="Times New Roman"/>
                <w:sz w:val="20"/>
              </w:rPr>
              <w:t>Eingehalten (Zugang 28.11.2025 für 2024)</w:t>
            </w:r>
          </w:p>
        </w:tc>
      </w:tr>
      <w:tr>
        <w:tc>
          <w:tcPr>
            <w:tcW w:type="dxa" w:w="4536"/>
          </w:tcPr>
          <w:p>
            <w:r>
              <w:rPr>
                <w:rFonts w:ascii="Times New Roman" w:hAnsi="Times New Roman"/>
                <w:sz w:val="20"/>
              </w:rPr>
              <w:t>Nachvollziehbarkeit der Abrechnung</w:t>
            </w:r>
          </w:p>
        </w:tc>
        <w:tc>
          <w:tcPr>
            <w:tcW w:type="dxa" w:w="4536"/>
          </w:tcPr>
          <w:p>
            <w:r>
              <w:rPr>
                <w:rFonts w:ascii="Times New Roman" w:hAnsi="Times New Roman"/>
                <w:sz w:val="20"/>
              </w:rPr>
              <w:t>Teils mangelhaft (Aufzug-Verteilerschlüssel nicht explizit erläutert)</w:t>
            </w:r>
          </w:p>
        </w:tc>
      </w:tr>
      <w:tr>
        <w:tc>
          <w:tcPr>
            <w:tcW w:type="dxa" w:w="4536"/>
          </w:tcPr>
          <w:p>
            <w:r>
              <w:rPr>
                <w:rFonts w:ascii="Times New Roman" w:hAnsi="Times New Roman"/>
                <w:sz w:val="20"/>
              </w:rPr>
              <w:t>Belegrecht (§ 259 BGB)</w:t>
            </w:r>
          </w:p>
        </w:tc>
        <w:tc>
          <w:tcPr>
            <w:tcW w:type="dxa" w:w="4536"/>
          </w:tcPr>
          <w:p>
            <w:r>
              <w:rPr>
                <w:rFonts w:ascii="Times New Roman" w:hAnsi="Times New Roman"/>
                <w:sz w:val="20"/>
              </w:rPr>
              <w:t>Tannenkamp hat Einsicht in Belege angefordert (Schreiben 20.01.2026)</w:t>
            </w:r>
          </w:p>
        </w:tc>
      </w:tr>
      <w:tr>
        <w:tc>
          <w:tcPr>
            <w:tcW w:type="dxa" w:w="4536"/>
          </w:tcPr>
          <w:p>
            <w:r>
              <w:rPr>
                <w:rFonts w:ascii="Times New Roman" w:hAnsi="Times New Roman"/>
                <w:sz w:val="20"/>
              </w:rPr>
              <w:t>Belegeinsicht gewährt</w:t>
            </w:r>
          </w:p>
        </w:tc>
        <w:tc>
          <w:tcPr>
            <w:tcW w:type="dxa" w:w="4536"/>
          </w:tcPr>
          <w:p>
            <w:r>
              <w:rPr>
                <w:rFonts w:ascii="Times New Roman" w:hAnsi="Times New Roman"/>
                <w:sz w:val="20"/>
              </w:rPr>
              <w:t>Noch nicht; Fristsetzung bis 10.02.2026</w:t>
            </w:r>
          </w:p>
        </w:tc>
      </w:tr>
    </w:tbl>
    <w:p/>
    <w:p>
      <w:pPr>
        <w:pStyle w:val="Heading2"/>
      </w:pPr>
      <w:r>
        <w:rPr>
          <w:rFonts w:ascii="Times New Roman" w:hAnsi="Times New Roman"/>
        </w:rPr>
        <w:t>Rügeschreiben</w:t>
      </w:r>
    </w:p>
    <w:p>
      <w:pPr>
        <w:jc w:val="left"/>
      </w:pPr>
      <w:r>
        <w:t>Mit anwaltlichem Schreiben vom 25.01.2026 wurde die Abrechnung formal beanstandet und Korrektur der Aufzugskosten-Verteilung sowie Belegeinsicht verlangt. Eine Nachzahlung wird bis zur Klärung einbehalten (§ 556 Abs. 3 Satz 6 BGB: Nachzahlung bei berechtigter Beanstandung nicht fällig, soweit Beanstandung begründet ist).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