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Eigenbedarfskündigung (vorbeugend angedroht) — § 573 BGB</w:t>
      </w:r>
    </w:p>
    <w:p>
      <w:pPr>
        <w:jc w:val="left"/>
      </w:pPr>
      <w:r>
        <w:rPr>
          <w:b/>
        </w:rPr>
        <w:t>Kanzlei-AZ:</w:t>
      </w:r>
      <w:r>
        <w:t xml:space="preserve"> KP-2026-0387</w:t>
      </w:r>
    </w:p>
    <w:p>
      <w:pPr>
        <w:jc w:val="left"/>
      </w:pPr>
      <w:r>
        <w:rPr>
          <w:b/>
        </w:rPr>
        <w:t>Erstellt:</w:t>
      </w:r>
      <w:r>
        <w:t xml:space="preserve"> 03.02.2026</w:t>
      </w:r>
    </w:p>
    <w:p/>
    <w:p>
      <w:pPr>
        <w:pStyle w:val="Heading2"/>
      </w:pPr>
      <w:r>
        <w:rPr>
          <w:rFonts w:ascii="Times New Roman" w:hAnsi="Times New Roman"/>
        </w:rPr>
        <w:t>Sachverhalt</w:t>
      </w:r>
    </w:p>
    <w:p>
      <w:pPr>
        <w:jc w:val="left"/>
      </w:pPr>
      <w:r>
        <w:t>Im Rahmen eines Telefonats am 12.01.2026 zwischen Herrn Tannenkamp und dem Geschäftsführer Strassburger-Pellbach äußerte Letzterer — laut Mandant —, falls die Modernisierungsmaßnahmen auf Widerstand stoßen sollten, könne „es auch sein, dass unsere Tochter Pelina da einziehen muss". Tannenkamp hat das Gespräch unmittelbar danach in einer handschriftlichen Notiz dokumentiert; die Notiz liegt zur Akte.</w:t>
      </w:r>
    </w:p>
    <w:p>
      <w:pPr>
        <w:jc w:val="left"/>
      </w:pPr>
      <w:r>
        <w:t>Mit anwaltlichem Schreiben vom 24.01.2026 (RA Boden-Kassau) wurde diese Äußerung zunächst als „missverständlich" bezeichnet und klargestellt, dass „derzeit keine Eigenbedarfskündigung geplant" sei. Die Androhung wurde damit de facto zurückgenommen, ohne sie förmlich zu widerrufen.</w:t>
      </w:r>
    </w:p>
    <w:p/>
    <w:p>
      <w:pPr>
        <w:pStyle w:val="Heading2"/>
      </w:pPr>
      <w:r>
        <w:rPr>
          <w:rFonts w:ascii="Times New Roman" w:hAnsi="Times New Roman"/>
        </w:rPr>
        <w:t>Rechtliche Einordnung</w:t>
      </w:r>
    </w:p>
    <w:p>
      <w:pPr>
        <w:pStyle w:val="Heading3"/>
      </w:pPr>
      <w:r>
        <w:rPr>
          <w:rFonts w:ascii="Times New Roman" w:hAnsi="Times New Roman"/>
        </w:rPr>
        <w:t>Voraussetzungen Eigenbedarfskündigung (§ 573 Abs. 2 Nr. 2 BGB)</w:t>
      </w:r>
    </w:p>
    <w:p>
      <w:pPr>
        <w:jc w:val="left"/>
      </w:pPr>
      <w:r>
        <w:t>Der Vermieter kann nach § 573 Abs. 2 Nr. 2 BGB kündigen, wenn er die Räume als Wohnung für sich, seine Familienangehörigen oder Angehörige seines Haushalts benötigt. Tochter Pelina Strassburger-Pellbach (geb. 1997) ist Familienangehörige im Sinne dieser Vorschrift.</w:t>
      </w:r>
    </w:p>
    <w:p>
      <w:pPr>
        <w:jc w:val="left"/>
      </w:pPr>
      <w:r>
        <w:t>Voraussetzungen für einen wirksamen Eigenbedarf:</w:t>
      </w:r>
    </w:p>
    <w:p>
      <w:pPr>
        <w:pStyle w:val="ListNumber"/>
      </w:pPr>
      <w:r>
        <w:t>Der Bedarf muss ernsthaft, konkret und vernünftig sein.</w:t>
      </w:r>
    </w:p>
    <w:p>
      <w:pPr>
        <w:pStyle w:val="ListNumber"/>
      </w:pPr>
      <w:r>
        <w:t>Er muss im Zeitpunkt der Kündigung vorliegen.</w:t>
      </w:r>
    </w:p>
    <w:p>
      <w:pPr>
        <w:pStyle w:val="ListNumber"/>
      </w:pPr>
      <w:r>
        <w:t>Der Vermieter muss die Tochter tatsächlich einziehen lassen wollen (kein vorgeschobener Eigenbedarf).</w:t>
      </w:r>
    </w:p>
    <w:p>
      <w:pPr>
        <w:pStyle w:val="ListNumber"/>
      </w:pPr>
      <w:r>
        <w:t>Das Interesse des Mieters an der Fortsetzung des Mietverhältnisses ist abzuwägen.</w:t>
      </w:r>
    </w:p>
    <w:p>
      <w:pPr>
        <w:pStyle w:val="Heading3"/>
      </w:pPr>
      <w:r>
        <w:rPr>
          <w:rFonts w:ascii="Times New Roman" w:hAnsi="Times New Roman"/>
        </w:rPr>
        <w:t>Vorbeugender Widerspruch / Härteklausel (§ 574 BGB)</w:t>
      </w:r>
    </w:p>
    <w:p>
      <w:pPr>
        <w:jc w:val="left"/>
      </w:pPr>
      <w:r>
        <w:t>Selbst wenn eine Kündigung ausgesprochen würde, stünde Tannenkamp das Widerspruchsrecht nach § 574 BGB zu. Die Härtegründe (Alter 74, gesundheitliche Einschränkungen, 12 Jahre Wohndauer, Verwurzelung im Kiez) überwiegen das Interesse der Tochter erheblich, insbesondere wenn Pelina Strassburger-Pellbach — wie es naheliegt — alternativ auf dem freien Markt eine Wohnung finden könnte.</w:t>
      </w:r>
    </w:p>
    <w:p>
      <w:pPr>
        <w:pStyle w:val="Heading3"/>
      </w:pPr>
      <w:r>
        <w:rPr>
          <w:rFonts w:ascii="Times New Roman" w:hAnsi="Times New Roman"/>
        </w:rPr>
        <w:t>Rechtsmissbrauch (§ 242 BGB)</w:t>
      </w:r>
    </w:p>
    <w:p>
      <w:pPr>
        <w:jc w:val="left"/>
      </w:pPr>
      <w:r>
        <w:t>Die zeitliche Koinzidenz zwischen der Meinungsverschiedenheit über die Modernisierung und der Eigenbedarfsandrohung ist auffällig. Sollte eine Kündigung ausgesprochen werden, ist zu prüfen, ob es sich um eine taktische Druckkündigung handelt (sog. „Verdrängungskündigung"), die nach § 242 BGB i.V.m. § 573 BGB rechtsmissbräuchlich und unwirksam wäre. Relevant wäre, ob Pelina Strassburger-Pellbach tatsächlich Bedarf hat (Wohnsituation, Einkommen, Familienstand untersuchen).</w:t>
      </w:r>
    </w:p>
    <w:p/>
    <w:p>
      <w:pPr>
        <w:pStyle w:val="Heading2"/>
      </w:pPr>
      <w:r>
        <w:rPr>
          <w:rFonts w:ascii="Times New Roman" w:hAnsi="Times New Roman"/>
        </w:rPr>
        <w:t>Recherche zu Pelina Strassburger-Pellbach</w:t>
      </w:r>
    </w:p>
    <w:p>
      <w:pPr>
        <w:jc w:val="left"/>
      </w:pPr>
      <w:r>
        <w:t>Stand der Erkenntnisse (über Mieterbund und öffentlich zugängliche Quellen):</w:t>
      </w:r>
    </w:p>
    <w:p>
      <w:pPr>
        <w:pStyle w:val="ListBullet"/>
      </w:pPr>
      <w:r>
        <w:t>Laut Handelsregistereintrag ist Pelina Strassburger-Pellbach Gesellschafterin der Strassburger Immobilien GmbH zu 25 %.</w:t>
      </w:r>
    </w:p>
    <w:p>
      <w:pPr>
        <w:pStyle w:val="ListBullet"/>
      </w:pPr>
      <w:r>
        <w:t>Sie ist nach Auskunft des Mieterbunds in einer eigenen Wohnung in Leipzig-Gohlis gemeldet (Mietspiegel-Abfrage mit ihrer Anschrift, abgeglichen mit Einwohnermeldeamt nicht möglich ohne Behördenermächtigung; nur öffentlich Zugängliches ausgewertet).</w:t>
      </w:r>
    </w:p>
    <w:p>
      <w:pPr>
        <w:pStyle w:val="ListBullet"/>
      </w:pPr>
      <w:r>
        <w:t>Öffentlich zugängliche Social-Media-Profile deuten auf Wohnort in Leipzig-Gohlis hin (Stand 01.2026).</w:t>
      </w:r>
    </w:p>
    <w:p/>
    <w:p>
      <w:pPr>
        <w:pStyle w:val="Heading2"/>
      </w:pPr>
      <w:r>
        <w:rPr>
          <w:rFonts w:ascii="Times New Roman" w:hAnsi="Times New Roman"/>
        </w:rPr>
        <w:t>Maßnahmen</w:t>
      </w:r>
    </w:p>
    <w:p>
      <w:pPr>
        <w:pStyle w:val="ListNumber"/>
      </w:pPr>
      <w:r>
        <w:t>Sachverhalt dokumentiert und zur Akte genommen.</w:t>
      </w:r>
    </w:p>
    <w:p>
      <w:pPr>
        <w:pStyle w:val="ListNumber"/>
      </w:pPr>
      <w:r>
        <w:t>Keine förmliche Kündigung bisher zugegangen — kein sofortiger Handlungsbedarf.</w:t>
      </w:r>
    </w:p>
    <w:p>
      <w:pPr>
        <w:pStyle w:val="ListNumber"/>
      </w:pPr>
      <w:r>
        <w:t>Sollte eine Kündigung ausgesprochen werden, wird binnen der Widerspruchsfrist (§ 574b BGB: bis zum Ablauf des zweiten Monats nach Zugang der Kündigung) förmlicher Widerspruch erhoben.</w:t>
      </w:r>
    </w:p>
    <w:p>
      <w:pPr>
        <w:pStyle w:val="ListNumber"/>
      </w:pPr>
      <w:r>
        <w:t>Bei Verdacht auf vorgeschobenen Eigenbedarf: Beweissicherung (Wohnverhältnisse Pelina, Schadensersatz nach § 574a BGB bei Täuschung).</w:t>
      </w:r>
    </w:p>
    <w:p>
      <w:pPr>
        <w:pStyle w:val="ListNumber"/>
      </w:pPr>
      <w:r>
        <w:t>Quartiers-Initiative informiert; politische Öffentlichkeit als ergänzender Schutz.</w:t>
      </w:r>
    </w:p>
    <w:p/>
    <w:p>
      <w:pPr>
        <w:pStyle w:val="Heading2"/>
      </w:pPr>
      <w:r>
        <w:rPr>
          <w:rFonts w:ascii="Times New Roman" w:hAnsi="Times New Roman"/>
        </w:rPr>
        <w:t>Aktueller Stand</w:t>
      </w:r>
    </w:p>
    <w:p>
      <w:pPr>
        <w:jc w:val="left"/>
      </w:pPr>
      <w:r>
        <w:t>Die Eigenbedarfsandrohung wurde vom Vermieter zurückgenommen. Sie wird weiterhin beobachtet. Ein formelles Mietverhältnisende ist nicht absehbar. Das Mandat konzentriert sich weiterhin auf Mietminderung und Modernisierungsmieterhöhung.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