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11 — Schimmelgutachten und rechtliche Position</w:t>
      </w:r>
    </w:p>
    <w:p>
      <w:pPr>
        <w:jc w:val="left"/>
      </w:pPr>
      <w:r>
        <w:rPr>
          <w:b/>
        </w:rPr>
        <w:t>Kanzlei-AZ:</w:t>
      </w:r>
      <w:r>
        <w:t xml:space="preserve"> KP-2026-0387</w:t>
      </w:r>
    </w:p>
    <w:p>
      <w:pPr>
        <w:jc w:val="left"/>
      </w:pPr>
      <w:r>
        <w:rPr>
          <w:b/>
        </w:rPr>
        <w:t>Erstellt:</w:t>
      </w:r>
      <w:r>
        <w:t xml:space="preserve"> 05.02.2026</w:t>
      </w:r>
    </w:p>
    <w:p>
      <w:pPr>
        <w:jc w:val="left"/>
      </w:pPr>
      <w:r>
        <w:rPr>
          <w:b/>
        </w:rPr>
        <w:t>Gutachter:</w:t>
      </w:r>
      <w:r>
        <w:t xml:space="preserve"> Dipl.-Ing. Rainer Schollbach, öffentlich bestellter und vereidigter Sachverständiger für Baukonstruktion und Baustoffe, Leipzig</w:t>
      </w:r>
    </w:p>
    <w:p>
      <w:pPr>
        <w:jc w:val="left"/>
      </w:pPr>
      <w:r>
        <w:rPr>
          <w:b/>
        </w:rPr>
        <w:t>Gutachtenauftrag:</w:t>
      </w:r>
      <w:r>
        <w:t xml:space="preserve"> 19.01.2026</w:t>
      </w:r>
    </w:p>
    <w:p>
      <w:pPr>
        <w:jc w:val="left"/>
      </w:pPr>
      <w:r>
        <w:rPr>
          <w:b/>
        </w:rPr>
        <w:t>Gutachtenabgabe:</w:t>
      </w:r>
      <w:r>
        <w:t xml:space="preserve"> 28.01.2026 (Kurzgutachten; Vollgutachten angekündigt bis 28.02.2026)</w:t>
      </w:r>
    </w:p>
    <w:p/>
    <w:p>
      <w:pPr>
        <w:pStyle w:val="Heading2"/>
      </w:pPr>
      <w:r>
        <w:rPr>
          <w:rFonts w:ascii="Times New Roman" w:hAnsi="Times New Roman"/>
        </w:rPr>
        <w:t>Zusammenfassung Gutachten Schollbach</w:t>
      </w:r>
    </w:p>
    <w:p>
      <w:pPr>
        <w:pStyle w:val="Heading3"/>
      </w:pPr>
      <w:r>
        <w:rPr>
          <w:rFonts w:ascii="Times New Roman" w:hAnsi="Times New Roman"/>
        </w:rPr>
        <w:t>Befund</w:t>
      </w:r>
    </w:p>
    <w:p>
      <w:pPr>
        <w:jc w:val="left"/>
      </w:pPr>
      <w:r>
        <w:t>SV Schollbach hat die Wohnung am 23.01.2026 persönlich besichtigt. Er hat folgende Messmethoden eingesetzt:</w:t>
      </w:r>
    </w:p>
    <w:p>
      <w:pPr>
        <w:pStyle w:val="ListBullet"/>
      </w:pPr>
      <w:r>
        <w:t>Thermografische Aufnahmen der Außenwände (Wärmebildkamera FLIR E75)</w:t>
      </w:r>
    </w:p>
    <w:p>
      <w:pPr>
        <w:pStyle w:val="ListBullet"/>
      </w:pPr>
      <w:r>
        <w:t>Oberflächenfeuchtemessung (Kapazitives Messgerät Testo 616)</w:t>
      </w:r>
    </w:p>
    <w:p>
      <w:pPr>
        <w:pStyle w:val="ListBullet"/>
      </w:pPr>
      <w:r>
        <w:t>Luftfeuchtemessprotokoll (Tannenkamp-Eigenprotokoll 14 Tage, Nov.–Dez. 2025 ausgewertet)</w:t>
      </w:r>
    </w:p>
    <w:p>
      <w:pPr>
        <w:pStyle w:val="ListBullet"/>
      </w:pPr>
      <w:r>
        <w:t>Abstrich Schimmelbefall zur mykologischen Analyse (Labor Umwelthygiene Leipzig GmbH)</w:t>
      </w:r>
    </w:p>
    <w:p>
      <w:pPr>
        <w:jc w:val="left"/>
      </w:pPr>
      <w:r>
        <w:rPr>
          <w:b/>
        </w:rPr>
        <w:t>Befunde: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Raum</w:t>
            </w:r>
          </w:p>
        </w:tc>
        <w:tc>
          <w:tcPr>
            <w:tcW w:type="dxa" w:w="1814"/>
          </w:tcPr>
          <w:p>
            <w:r>
              <w:rPr>
                <w:rFonts w:ascii="Times New Roman" w:hAnsi="Times New Roman"/>
                <w:b/>
                <w:sz w:val="20"/>
              </w:rPr>
              <w:t>Befundstelle</w:t>
            </w:r>
          </w:p>
        </w:tc>
        <w:tc>
          <w:tcPr>
            <w:tcW w:type="dxa" w:w="1814"/>
          </w:tcPr>
          <w:p>
            <w:r>
              <w:rPr>
                <w:rFonts w:ascii="Times New Roman" w:hAnsi="Times New Roman"/>
                <w:b/>
                <w:sz w:val="20"/>
              </w:rPr>
              <w:t>Wärmebrücken-U-Wert</w:t>
            </w:r>
          </w:p>
        </w:tc>
        <w:tc>
          <w:tcPr>
            <w:tcW w:type="dxa" w:w="1814"/>
          </w:tcPr>
          <w:p>
            <w:r>
              <w:rPr>
                <w:rFonts w:ascii="Times New Roman" w:hAnsi="Times New Roman"/>
                <w:b/>
                <w:sz w:val="20"/>
              </w:rPr>
              <w:t>rel. Luftfeuchte Oberfläche</w:t>
            </w:r>
          </w:p>
        </w:tc>
        <w:tc>
          <w:tcPr>
            <w:tcW w:type="dxa" w:w="1814"/>
          </w:tcPr>
          <w:p>
            <w:r>
              <w:rPr>
                <w:rFonts w:ascii="Times New Roman" w:hAnsi="Times New Roman"/>
                <w:b/>
                <w:sz w:val="20"/>
              </w:rPr>
              <w:t>Schimmelart</w:t>
            </w:r>
          </w:p>
        </w:tc>
      </w:tr>
      <w:tr>
        <w:tc>
          <w:tcPr>
            <w:tcW w:type="dxa" w:w="1814"/>
          </w:tcPr>
          <w:p>
            <w:r>
              <w:rPr>
                <w:rFonts w:ascii="Times New Roman" w:hAnsi="Times New Roman"/>
                <w:sz w:val="20"/>
              </w:rPr>
              <w:t>Badezimmer</w:t>
            </w:r>
          </w:p>
        </w:tc>
        <w:tc>
          <w:tcPr>
            <w:tcW w:type="dxa" w:w="1814"/>
          </w:tcPr>
          <w:p>
            <w:r>
              <w:rPr>
                <w:rFonts w:ascii="Times New Roman" w:hAnsi="Times New Roman"/>
                <w:sz w:val="20"/>
              </w:rPr>
              <w:t>Außenwandecke NW, Fensterlaibung</w:t>
            </w:r>
          </w:p>
        </w:tc>
        <w:tc>
          <w:tcPr>
            <w:tcW w:type="dxa" w:w="1814"/>
          </w:tcPr>
          <w:p>
            <w:r>
              <w:rPr>
                <w:rFonts w:ascii="Times New Roman" w:hAnsi="Times New Roman"/>
                <w:sz w:val="20"/>
              </w:rPr>
              <w:t>0,58 W/(m²K)</w:t>
            </w:r>
          </w:p>
        </w:tc>
        <w:tc>
          <w:tcPr>
            <w:tcW w:type="dxa" w:w="1814"/>
          </w:tcPr>
          <w:p>
            <w:r>
              <w:rPr>
                <w:rFonts w:ascii="Times New Roman" w:hAnsi="Times New Roman"/>
                <w:sz w:val="20"/>
              </w:rPr>
              <w:t>bis 98 %</w:t>
            </w:r>
          </w:p>
        </w:tc>
        <w:tc>
          <w:tcPr>
            <w:tcW w:type="dxa" w:w="1814"/>
          </w:tcPr>
          <w:p>
            <w:r>
              <w:rPr>
                <w:rFonts w:ascii="Times New Roman" w:hAnsi="Times New Roman"/>
                <w:sz w:val="20"/>
              </w:rPr>
              <w:t>Cladosporium sphaerospermum</w:t>
            </w:r>
          </w:p>
        </w:tc>
      </w:tr>
      <w:tr>
        <w:tc>
          <w:tcPr>
            <w:tcW w:type="dxa" w:w="1814"/>
          </w:tcPr>
          <w:p>
            <w:r>
              <w:rPr>
                <w:rFonts w:ascii="Times New Roman" w:hAnsi="Times New Roman"/>
                <w:sz w:val="20"/>
              </w:rPr>
              <w:t>Arbeitszimmer</w:t>
            </w:r>
          </w:p>
        </w:tc>
        <w:tc>
          <w:tcPr>
            <w:tcW w:type="dxa" w:w="1814"/>
          </w:tcPr>
          <w:p>
            <w:r>
              <w:rPr>
                <w:rFonts w:ascii="Times New Roman" w:hAnsi="Times New Roman"/>
                <w:sz w:val="20"/>
              </w:rPr>
              <w:t>Außenwandecke NW</w:t>
            </w:r>
          </w:p>
        </w:tc>
        <w:tc>
          <w:tcPr>
            <w:tcW w:type="dxa" w:w="1814"/>
          </w:tcPr>
          <w:p>
            <w:r>
              <w:rPr>
                <w:rFonts w:ascii="Times New Roman" w:hAnsi="Times New Roman"/>
                <w:sz w:val="20"/>
              </w:rPr>
              <w:t>0,61 W/(m²K)</w:t>
            </w:r>
          </w:p>
        </w:tc>
        <w:tc>
          <w:tcPr>
            <w:tcW w:type="dxa" w:w="1814"/>
          </w:tcPr>
          <w:p>
            <w:r>
              <w:rPr>
                <w:rFonts w:ascii="Times New Roman" w:hAnsi="Times New Roman"/>
                <w:sz w:val="20"/>
              </w:rPr>
              <w:t>bis 95 %</w:t>
            </w:r>
          </w:p>
        </w:tc>
        <w:tc>
          <w:tcPr>
            <w:tcW w:type="dxa" w:w="1814"/>
          </w:tcPr>
          <w:p>
            <w:r>
              <w:rPr>
                <w:rFonts w:ascii="Times New Roman" w:hAnsi="Times New Roman"/>
                <w:sz w:val="20"/>
              </w:rPr>
              <w:t>Aspergillus niger</w:t>
            </w:r>
          </w:p>
        </w:tc>
      </w:tr>
    </w:tbl>
    <w:p>
      <w:pPr>
        <w:pStyle w:val="Heading3"/>
      </w:pPr>
      <w:r>
        <w:rPr>
          <w:rFonts w:ascii="Times New Roman" w:hAnsi="Times New Roman"/>
        </w:rPr>
        <w:t>Ursachenbewertung</w:t>
      </w:r>
    </w:p>
    <w:p>
      <w:pPr>
        <w:jc w:val="left"/>
      </w:pPr>
      <w:r>
        <w:t>SV Schollbach kommt zu folgendem Schluss: Die Schimmelbildung ist auf eine baustrukturell bedingte Wärmebrücke zurückzuführen. Die ungedämmte Außenwand aus Vollziegelmauerwerk (ca. 38 cm, Baujahr 1908) weist an den Außenwandecken einen U-Wert auf, der unter winterlichen Außentemperaturen regelmäßig zu Tauwasserausfall auf der Raumseitenoberfläche führt. Die im Eigenprotokoll Tannenkamp dokumentierte Innenluftfeuchte von durchschnittlich 52 % ist normal und gibt keinen Anhalt für Lüftungsfehler.</w:t>
      </w:r>
    </w:p>
    <w:p>
      <w:pPr>
        <w:jc w:val="left"/>
      </w:pPr>
      <w:r>
        <w:rPr>
          <w:b/>
        </w:rPr>
        <w:t>Zitat Gutachten (S. 7):</w:t>
      </w:r>
      <w:r>
        <w:t xml:space="preserve"> „Unter den gemessenen thermischen Bedingungen würde eine Raumluftfeuchte von mindestens 67 % erforderlich sein, um die festgestellten Kondensatmengen zu vermeiden. Eine solche Feuchte liegt erkennbar nicht vor. Die Schadensursache liegt daher ausschließlich in der baustrukturellen Wärmebrücke."</w:t>
      </w:r>
    </w:p>
    <w:p/>
    <w:p>
      <w:pPr>
        <w:pStyle w:val="Heading2"/>
      </w:pPr>
      <w:r>
        <w:rPr>
          <w:rFonts w:ascii="Times New Roman" w:hAnsi="Times New Roman"/>
        </w:rPr>
        <w:t>Rechtliche Würdigung</w:t>
      </w:r>
    </w:p>
    <w:p>
      <w:pPr>
        <w:pStyle w:val="Heading3"/>
      </w:pPr>
      <w:r>
        <w:rPr>
          <w:rFonts w:ascii="Times New Roman" w:hAnsi="Times New Roman"/>
        </w:rPr>
        <w:t>§ 536 BGB — Mietminderung</w:t>
      </w:r>
    </w:p>
    <w:p>
      <w:pPr>
        <w:jc w:val="left"/>
      </w:pPr>
      <w:r>
        <w:t>Der Schimmelbefund begründet einen Sachmangel der Mietsache, der die Gebrauchstauglichkeit erheblich mindert (§ 536 Abs. 1 Satz 1 BGB). Die Minderung tritt kraft Gesetzes ein. Nach dem Gutachten liegt die Ursache nicht im Verhalten des Mieters (kein Lüftungsfehler), sondern im Zustand des Gebäudes.</w:t>
      </w:r>
    </w:p>
    <w:p>
      <w:pPr>
        <w:pStyle w:val="Heading3"/>
      </w:pPr>
      <w:r>
        <w:rPr>
          <w:rFonts w:ascii="Times New Roman" w:hAnsi="Times New Roman"/>
        </w:rPr>
        <w:t>BGH VIII ZR 271/17</w:t>
      </w:r>
    </w:p>
    <w:p>
      <w:pPr>
        <w:jc w:val="left"/>
      </w:pPr>
      <w:r>
        <w:t>Das Gutachten ist konsistent mit der BGH-Rechtsprechung (VIII ZR 271/17, Urt. v. 05.12.2018): Die Darlegungs- und Beweislast für einen Lüftungsfehler liegt beim Vermieter. Das Gutachten schließt diesen aus. Damit ist die Minderungsberechtigung des Mandanten vollständig belegt.</w:t>
      </w:r>
    </w:p>
    <w:p>
      <w:pPr>
        <w:pStyle w:val="Heading3"/>
      </w:pPr>
      <w:r>
        <w:rPr>
          <w:rFonts w:ascii="Times New Roman" w:hAnsi="Times New Roman"/>
        </w:rPr>
        <w:t>§ 536a BGB — Schadensersatz</w:t>
      </w:r>
    </w:p>
    <w:p>
      <w:pPr>
        <w:jc w:val="left"/>
      </w:pPr>
      <w:r>
        <w:t>Darüber hinaus können Schadensersatzansprüche nach § 536a BGB bestehen, da der Vermieter den Mangel trotz Kenntnis (Mängelanzeigen August und September 2025) nicht beseitigt hat. Als Schaden kommen in Betracht:</w:t>
      </w:r>
    </w:p>
    <w:p>
      <w:pPr>
        <w:pStyle w:val="ListBullet"/>
      </w:pPr>
      <w:r>
        <w:t>Kosten der eigenen Feuchtemessung (Bautrocknung Lehmann GmbH, November 2025): 380,00 EUR</w:t>
      </w:r>
    </w:p>
    <w:p>
      <w:pPr>
        <w:pStyle w:val="ListBullet"/>
      </w:pPr>
      <w:r>
        <w:t>Kosten des Sachverständigengutachtens (Schollbach, vorläufig): 1.240,00 EUR (netto)</w:t>
      </w:r>
    </w:p>
    <w:p>
      <w:pPr>
        <w:pStyle w:val="ListBullet"/>
      </w:pPr>
      <w:r>
        <w:t>Kosten der Raumreinigung und Schimmelentfernung (soweit Mandant vorgeht): noch nicht bezifferbar</w:t>
      </w:r>
    </w:p>
    <w:p>
      <w:pPr>
        <w:pStyle w:val="ListBullet"/>
      </w:pPr>
      <w:r>
        <w:t>Immaterielle Beeinträchtigungen: in der Wohnung nicht isoliert geltend zu machen; aber bei Gesundheitsschäden (Aspergillus niger hat Krankheitspotenzial) möglich</w:t>
      </w:r>
    </w:p>
    <w:p>
      <w:pPr>
        <w:pStyle w:val="Heading3"/>
      </w:pPr>
      <w:r>
        <w:rPr>
          <w:rFonts w:ascii="Times New Roman" w:hAnsi="Times New Roman"/>
        </w:rPr>
        <w:t>§ 543 Abs. 2 Nr. 1 BGB — Außerordentliche Kündigung</w:t>
      </w:r>
    </w:p>
    <w:p>
      <w:pPr>
        <w:jc w:val="left"/>
      </w:pPr>
      <w:r>
        <w:t>Die Voraussetzungen einer außerordentlichen Kündigung wegen eines erheblichen Mangels liegen theoretisch vor, werden aber nicht angestrebt (Tannenkamp möchte die Wohnung behalten).</w:t>
      </w:r>
    </w:p>
    <w:p/>
    <w:p>
      <w:pPr>
        <w:pStyle w:val="Heading2"/>
      </w:pPr>
      <w:r>
        <w:rPr>
          <w:rFonts w:ascii="Times New Roman" w:hAnsi="Times New Roman"/>
        </w:rPr>
        <w:t>Prozessualer Einsatz des Gutachtens</w:t>
      </w:r>
    </w:p>
    <w:p>
      <w:pPr>
        <w:jc w:val="left"/>
      </w:pPr>
      <w:r>
        <w:t>Das Gutachten wird als Anlage zur Klageschrift (AG Leipzig 1 C 417/26) eingereicht. SV Schollbach ist als sachverständiger Zeuge für eine eventuelle Beweisaufnahme benannt. Das Vollgutachten (geplant 28.02.2026) wird die Thermografiebilder und Laborergebnisse vollständig enthalten.</w:t>
      </w:r>
    </w:p>
    <w:p/>
    <w:p>
      <w:pPr>
        <w:pStyle w:val="Heading2"/>
      </w:pPr>
      <w:r>
        <w:rPr>
          <w:rFonts w:ascii="Times New Roman" w:hAnsi="Times New Roman"/>
        </w:rPr>
        <w:t>Reaktion Vermieter auf Gutachten</w:t>
      </w:r>
    </w:p>
    <w:p>
      <w:pPr>
        <w:jc w:val="left"/>
      </w:pPr>
      <w:r>
        <w:t>RA Boden-Kassau hat mit Schreiben vom 14.02.2026 das Gutachten Schollbach als „nicht schlüssig" bezeichnet und angekündigt, einen eigenen Gegensachverständigen zu beauftragen. Das Gegengutachten ist bisher nicht vorgelegt worden. Die Klageschrift wurde am 03.03.2026 trotzdem eingereicht, da das Vollgutachten Schollbach überzeugend und das Gegengutachten nicht termingerecht angekündigt war.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