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12 — Anhörung Vermieter / Antwort Strassburger</w:t>
      </w:r>
    </w:p>
    <w:p>
      <w:pPr>
        <w:jc w:val="left"/>
      </w:pPr>
      <w:r>
        <w:rPr>
          <w:b/>
        </w:rPr>
        <w:t>Kanzlei-AZ:</w:t>
      </w:r>
      <w:r>
        <w:t xml:space="preserve"> KP-2026-0387</w:t>
      </w:r>
    </w:p>
    <w:p>
      <w:pPr>
        <w:jc w:val="left"/>
      </w:pPr>
      <w:r>
        <w:rPr>
          <w:b/>
        </w:rPr>
        <w:t>Erstellt:</w:t>
      </w:r>
      <w:r>
        <w:t xml:space="preserve"> 15.02.2026</w:t>
      </w:r>
    </w:p>
    <w:p>
      <w:pPr>
        <w:jc w:val="left"/>
      </w:pPr>
      <w:r>
        <w:rPr>
          <w:b/>
        </w:rPr>
        <w:t>Gegenstand:</w:t>
      </w:r>
      <w:r>
        <w:t xml:space="preserve"> Anwaltliches Forderungsschreiben vom 28.01.2026; Antwort RA Boden-Kassau vom 14.02.2026</w:t>
      </w:r>
    </w:p>
    <w:p/>
    <w:p>
      <w:pPr>
        <w:pStyle w:val="Heading2"/>
      </w:pPr>
      <w:r>
        <w:rPr>
          <w:rFonts w:ascii="Times New Roman" w:hAnsi="Times New Roman"/>
        </w:rPr>
        <w:t>Anwaltliches Forderungsschreiben (28.01.2026)</w:t>
      </w:r>
    </w:p>
    <w:p>
      <w:pPr>
        <w:jc w:val="left"/>
      </w:pPr>
      <w:r>
        <w:t>Mit Schreiben vom 28.01.2026 hat RAin Dr. Kupfer-Pfaff im Namen von Herrn Tannenkamp folgende Ansprüche geltend gemacht:</w:t>
      </w:r>
    </w:p>
    <w:p>
      <w:pPr>
        <w:pStyle w:val="ListNumber"/>
      </w:pPr>
      <w:r>
        <w:rPr>
          <w:b/>
        </w:rPr>
        <w:t>Mietminderung 12 % rückwirkend ab 12.08.2025</w:t>
      </w:r>
      <w:r>
        <w:t xml:space="preserve"> — Geltendmachung rückständiger Miete von 461,10 EUR (5,5 Monate × 83,84 EUR/Monat); fortlaufende Minderung erklärt.</w:t>
      </w:r>
    </w:p>
    <w:p>
      <w:pPr>
        <w:pStyle w:val="ListNumber"/>
      </w:pPr>
      <w:r>
        <w:rPr>
          <w:b/>
        </w:rPr>
        <w:t>Mangelbeseitigung Schimmel</w:t>
      </w:r>
      <w:r>
        <w:t xml:space="preserve"> — Fristsetzung bis 28.02.2026 zur Durchführung fachgerechter Schimmelsanierung einschließlich Ursachenbeseitigung (Wärmebrücke).</w:t>
      </w:r>
    </w:p>
    <w:p>
      <w:pPr>
        <w:pStyle w:val="ListNumber"/>
      </w:pPr>
      <w:r>
        <w:rPr>
          <w:b/>
        </w:rPr>
        <w:t>Herausgabe der Betriebskosten-Belege 2024</w:t>
      </w:r>
      <w:r>
        <w:t xml:space="preserve"> — Fristsetzung bis 10.02.2026; Belegeinsicht am Sitz der Verwaltung zu ermöglichen.</w:t>
      </w:r>
    </w:p>
    <w:p>
      <w:pPr>
        <w:pStyle w:val="ListNumber"/>
      </w:pPr>
      <w:r>
        <w:rPr>
          <w:b/>
        </w:rPr>
        <w:t>Beanstandung Aufzugskosten</w:t>
      </w:r>
      <w:r>
        <w:t xml:space="preserve"> — Anerkennung der fehlerhaften Umlage auf EG-Mieter; Korrektur der Abrechnung.</w:t>
      </w:r>
    </w:p>
    <w:p>
      <w:pPr>
        <w:pStyle w:val="ListNumber"/>
      </w:pPr>
      <w:r>
        <w:rPr>
          <w:b/>
        </w:rPr>
        <w:t>Gegendarstellung zur Eigenbedarfsandrohung</w:t>
      </w:r>
      <w:r>
        <w:t xml:space="preserve"> — Dokumentation, dass die mündliche Äußerung vom 12.01.2026 keine Rechtsgrundlage hat.</w:t>
      </w:r>
    </w:p>
    <w:p>
      <w:pPr>
        <w:pStyle w:val="ListNumber"/>
      </w:pPr>
      <w:r>
        <w:rPr>
          <w:b/>
        </w:rPr>
        <w:t>Nachweis BAFA-Fördermittel</w:t>
      </w:r>
      <w:r>
        <w:t xml:space="preserve"> — Vorlage der Fördermittelanträge im Zusammenhang mit der Modernisierungsmaßnahme.</w:t>
      </w:r>
    </w:p>
    <w:p/>
    <w:p>
      <w:pPr>
        <w:pStyle w:val="Heading2"/>
      </w:pPr>
      <w:r>
        <w:rPr>
          <w:rFonts w:ascii="Times New Roman" w:hAnsi="Times New Roman"/>
        </w:rPr>
        <w:t>Antwort RA Boden-Kassau (14.02.2026)</w:t>
      </w:r>
    </w:p>
    <w:p>
      <w:pPr>
        <w:jc w:val="left"/>
      </w:pPr>
      <w:r>
        <w:t>RA Dr. Ferdinand Boden-Kassau, Boden-Kassau Rechtsanwälte, Peterssteinweg 12, 04107 Leipzig, antwortete mit Schreiben vom 14.02.2026. Inhalt (zusammengefasst):</w:t>
      </w:r>
    </w:p>
    <w:p>
      <w:pPr>
        <w:pStyle w:val="Heading3"/>
      </w:pPr>
      <w:r>
        <w:rPr>
          <w:rFonts w:ascii="Times New Roman" w:hAnsi="Times New Roman"/>
        </w:rPr>
        <w:t>Zu Mietminderung und Schimmel</w:t>
      </w:r>
    </w:p>
    <w:p>
      <w:pPr>
        <w:ind w:left="567"/>
      </w:pPr>
      <w:r>
        <w:rPr>
          <w:i/>
        </w:rPr>
        <w:t>„Unser Mandant bestreitet, dass die Schimmelbildung auf baustrukturelle Ursachen zurückzuführen ist. Das Gutachten Schollbach ist nicht schlüssig und beruht auf einseitig gesetzten Messzeitpunkten. Unser Mandant wird ein Gegengutachten beauftragen. Bis zur Klärung wird die geltend gemachte Minderung nicht anerkannt."</w:t>
      </w:r>
    </w:p>
    <w:p>
      <w:pPr>
        <w:ind w:left="567"/>
      </w:pPr>
      <w:r>
        <w:rPr>
          <w:i/>
        </w:rPr>
        <w:t>„Ferner wird darauf hingewiesen, dass Herr Tannenkamp bereits in der Vergangenheit auf die Notwendigkeit regelmäßigen Lüftens hingewiesen wurde. Das Bad verfügt über kein mechanisches Lüftungssystem, was es dem Mieter umso mehr zur Pflicht macht, ausreichend zu lüften."</w:t>
      </w:r>
    </w:p>
    <w:p>
      <w:pPr>
        <w:jc w:val="left"/>
      </w:pPr>
      <w:r>
        <w:rPr>
          <w:b/>
        </w:rPr>
        <w:t>Kommentar RAin Kupfer-Pfaff:</w:t>
      </w:r>
      <w:r>
        <w:t xml:space="preserve"> Diese Argumentation entspricht der üblichen Defensivposition des Vermieters, ist aber nach BGH VIII ZR 271/17 nicht überzeugend, solange das Lüftungsverhalten des Mieters unauffällig ist (belegt durch Eigenprotokoll und Gutachten Schollbach).</w:t>
      </w:r>
    </w:p>
    <w:p>
      <w:pPr>
        <w:pStyle w:val="Heading3"/>
      </w:pPr>
      <w:r>
        <w:rPr>
          <w:rFonts w:ascii="Times New Roman" w:hAnsi="Times New Roman"/>
        </w:rPr>
        <w:t>Zu Betriebskosten</w:t>
      </w:r>
    </w:p>
    <w:p>
      <w:pPr>
        <w:ind w:left="567"/>
      </w:pPr>
      <w:r>
        <w:rPr>
          <w:i/>
        </w:rPr>
        <w:t>„Eine Belegeinsicht ist grundsätzlich möglich. Wir bitten um Terminabsprache mit der Verwaltung. Die Umlage der Aufzugskosten entspricht dem im Mietvertrag vereinbarten Verteilerschlüssel 'nach Wohnfläche'. Ob EG-Mieter den Aufzug nutzen können, ist irrelevant, wenn der Mietvertrag keine Ausnahme vorsieht."</w:t>
      </w:r>
    </w:p>
    <w:p>
      <w:pPr>
        <w:jc w:val="left"/>
      </w:pPr>
      <w:r>
        <w:rPr>
          <w:b/>
        </w:rPr>
        <w:t>Kommentar RAin Kupfer-Pfaff:</w:t>
      </w:r>
      <w:r>
        <w:t xml:space="preserve"> Diese Auffassung ist rechtlich falsch. BGH VIII ZR 103/14 ist eindeutig: Eine vertragliche Umlage-Vereinbarung, die den gesetzlichen Vorgaben der BetrKV widerspricht, ist unwirksam. Die EG-Mieter haben keinen Zugang zum Aufzug — die Umlage ist unzulässig, unabhängig vom Mietvertragstext.</w:t>
      </w:r>
    </w:p>
    <w:p>
      <w:pPr>
        <w:pStyle w:val="Heading3"/>
      </w:pPr>
      <w:r>
        <w:rPr>
          <w:rFonts w:ascii="Times New Roman" w:hAnsi="Times New Roman"/>
        </w:rPr>
        <w:t>Zu Eigenbedarf</w:t>
      </w:r>
    </w:p>
    <w:p>
      <w:pPr>
        <w:ind w:left="567"/>
      </w:pPr>
      <w:r>
        <w:rPr>
          <w:i/>
        </w:rPr>
        <w:t>„Die bei einem Telefongespräch gefallene Äußerung ist aus dem Zusammenhang gerissen worden und hatte keine rechtliche Bedeutung. Eine Eigenbedarfskündigung ist derzeit nicht geplant."</w:t>
      </w:r>
    </w:p>
    <w:p>
      <w:pPr>
        <w:pStyle w:val="Heading3"/>
      </w:pPr>
      <w:r>
        <w:rPr>
          <w:rFonts w:ascii="Times New Roman" w:hAnsi="Times New Roman"/>
        </w:rPr>
        <w:t>Zu BAFA-Fördermitteln</w:t>
      </w:r>
    </w:p>
    <w:p>
      <w:pPr>
        <w:ind w:left="567"/>
      </w:pPr>
      <w:r>
        <w:rPr>
          <w:i/>
        </w:rPr>
        <w:t>„Die Fördermittelplanung ist vertraulich und betrifft ausschließlich die interne Planung unseres Mandanten. Eine Offenlegungspflicht gegenüber dem Mieter besteht nicht."</w:t>
      </w:r>
    </w:p>
    <w:p>
      <w:pPr>
        <w:jc w:val="left"/>
      </w:pPr>
      <w:r>
        <w:rPr>
          <w:b/>
        </w:rPr>
        <w:t>Kommentar RAin Kupfer-Pfaff:</w:t>
      </w:r>
      <w:r>
        <w:t xml:space="preserve"> Dies ist falsch — § 559a Abs. 2 BGB verpflichtet den Vermieter, im späteren Mieterhöhungsverlangen die in Anspruch genommenen Fördermittel anzugeben. Eine vorherige Auskunftspflicht lässt sich aus der allgemeinen Treuepflicht ableiten; das wird im Klageverfahren relevant.</w:t>
      </w:r>
    </w:p>
    <w:p/>
    <w:p>
      <w:pPr>
        <w:pStyle w:val="Heading2"/>
      </w:pPr>
      <w:r>
        <w:rPr>
          <w:rFonts w:ascii="Times New Roman" w:hAnsi="Times New Roman"/>
        </w:rPr>
        <w:t>Ergebnis der vorgerichtlichen Anhörung</w:t>
      </w:r>
    </w:p>
    <w:p>
      <w:pPr>
        <w:jc w:val="left"/>
      </w:pPr>
      <w:r>
        <w:t>Keine einvernehmliche Einigung erzielt. Alle wesentlichen Ansprüche wurden zurückgewiesen. Klagerhebung wird vorbereitet (Aktenstück 13).</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