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Stellungnahme Mieterbund Leipzig e.V.</w:t>
      </w:r>
    </w:p>
    <w:p>
      <w:pPr>
        <w:jc w:val="left"/>
      </w:pPr>
      <w:r>
        <w:rPr>
          <w:b/>
        </w:rPr>
        <w:t>Kanzlei-AZ:</w:t>
      </w:r>
      <w:r>
        <w:t xml:space="preserve"> KP-2026-0387</w:t>
      </w:r>
    </w:p>
    <w:p>
      <w:pPr>
        <w:jc w:val="left"/>
      </w:pPr>
      <w:r>
        <w:rPr>
          <w:b/>
        </w:rPr>
        <w:t>Datum Stellungnahme:</w:t>
      </w:r>
      <w:r>
        <w:t xml:space="preserve"> 05.03.2026</w:t>
      </w:r>
    </w:p>
    <w:p>
      <w:pPr>
        <w:jc w:val="left"/>
      </w:pPr>
      <w:r>
        <w:rPr>
          <w:b/>
        </w:rPr>
        <w:t>Aussteller:</w:t>
      </w:r>
      <w:r>
        <w:t xml:space="preserve"> Mieterbund Leipzig e.V., Brühl 34–36, 04109 Leipzig</w:t>
      </w:r>
    </w:p>
    <w:p>
      <w:pPr>
        <w:jc w:val="left"/>
      </w:pPr>
      <w:r>
        <w:rPr>
          <w:b/>
        </w:rPr>
        <w:t>Unterzeichner:</w:t>
      </w:r>
      <w:r>
        <w:t xml:space="preserve"> Dipl.-Jur. Sabrina Hohlmann, Rechtsberaterin Mieterbund Leipzig</w:t>
      </w:r>
    </w:p>
    <w:p/>
    <w:p>
      <w:pPr>
        <w:pStyle w:val="Heading2"/>
      </w:pPr>
      <w:r>
        <w:rPr>
          <w:rFonts w:ascii="Times New Roman" w:hAnsi="Times New Roman"/>
        </w:rPr>
        <w:t>Hintergrund</w:t>
      </w:r>
    </w:p>
    <w:p>
      <w:pPr>
        <w:jc w:val="left"/>
      </w:pPr>
      <w:r>
        <w:t>Herr Tannenkamp ist seit 2014 Mitglied des Mieterbunds Leipzig e.V. Der Mieterbund hat ihn bereits 2021 bei der Prüfung des ersten Mieterhöhungsverlangens beraten und an die Kanzlei Kupfer-Pfaff vermittelt. RAin Kupfer-Pfaff hat den Mieterbund um eine ergänzende Stellungnahme zur Frage der Modernisierungsmieterhöhung und zum Härteeinwand gebeten.</w:t>
      </w:r>
    </w:p>
    <w:p/>
    <w:p>
      <w:pPr>
        <w:pStyle w:val="Heading2"/>
      </w:pPr>
      <w:r>
        <w:rPr>
          <w:rFonts w:ascii="Times New Roman" w:hAnsi="Times New Roman"/>
        </w:rPr>
        <w:t>Stellungnahme des Mieterbunds</w:t>
      </w:r>
    </w:p>
    <w:p>
      <w:pPr>
        <w:pStyle w:val="Heading3"/>
      </w:pPr>
      <w:r>
        <w:rPr>
          <w:rFonts w:ascii="Times New Roman" w:hAnsi="Times New Roman"/>
        </w:rPr>
        <w:t>Zur Modernisierungsmieterhöhung</w:t>
      </w:r>
    </w:p>
    <w:p>
      <w:pPr>
        <w:jc w:val="left"/>
      </w:pPr>
      <w:r>
        <w:t>Der Mieterbund Leipzig teilt die Einschätzung der Kanzlei Kupfer-Pfaff, dass die angekündigte Mieterhöhung von 8,90 EUR auf 13,40 EUR/m² mehrere Rechtsmängel aufweist:</w:t>
      </w:r>
    </w:p>
    <w:p>
      <w:pPr>
        <w:pStyle w:val="ListNumber"/>
      </w:pPr>
      <w:r>
        <w:rPr>
          <w:b/>
        </w:rPr>
        <w:t>Fehlende Abgrenzung Instandhaltung/Modernisierung:</w:t>
      </w:r>
      <w:r>
        <w:t xml:space="preserve"> Nach § 559 Abs. 2 BGB sind Instandhaltungskosten vom umlagefähigen Modernisierungsaufwand abzuziehen. Die Ankündigung des Vermieters enthält diese Abgrenzung nicht. Aus unserer Erfahrung in der Mietrechtsberatung (über 350 vergleichbare Fälle seit 2018) beanspruchen Vermieter häufig Beträge, die um 15–25 % über dem nach § 559 BGB zulässigen Betrag liegen, weil Instandhaltungsanteile nicht abgezogen werden.</w:t>
      </w:r>
    </w:p>
    <w:p>
      <w:pPr>
        <w:pStyle w:val="ListNumber"/>
      </w:pPr>
      <w:r>
        <w:rPr>
          <w:b/>
        </w:rPr>
        <w:t>Fördermittelabzug:</w:t>
      </w:r>
      <w:r>
        <w:t xml:space="preserve"> Für Wärmepumpen und Dämmmaßnahmen nach GEG gewährt das BAFA regelmäßig Fördermittel. Die angekündigte Mieterhöhung enthält keinen entsprechenden Abzug gemäß § 559a BGB.</w:t>
      </w:r>
    </w:p>
    <w:p>
      <w:pPr>
        <w:pStyle w:val="ListNumber"/>
      </w:pPr>
      <w:r>
        <w:rPr>
          <w:b/>
        </w:rPr>
        <w:t>Härteklausel:</w:t>
      </w:r>
      <w:r>
        <w:t xml:space="preserve"> Der Mieterbund begrüßt, dass Herr Tannenkamp den Härteeinwand nach § 555d Abs. 2 BGB fristgerecht erhoben hat. Die Mietbelastungsquote von über 50 % ist ein starkes Indiz für wirtschaftliche Unzumutbarkeit.</w:t>
      </w:r>
    </w:p>
    <w:p>
      <w:pPr>
        <w:pStyle w:val="Heading3"/>
      </w:pPr>
      <w:r>
        <w:rPr>
          <w:rFonts w:ascii="Times New Roman" w:hAnsi="Times New Roman"/>
        </w:rPr>
        <w:t>Zum Mietspiegel Leipzig 2026</w:t>
      </w:r>
    </w:p>
    <w:p>
      <w:pPr>
        <w:jc w:val="left"/>
      </w:pPr>
      <w:r>
        <w:t>Der Mieterbund Leipzig war an der Erstellung des Mietspiegels 2026 als mietervertretende Organisation beteiligt. Die im Mietspiegel 2026 ausgewiesenen Werte spiegeln die tatsächlichen Mieten im Bestand wider und sind als qualifizierter Mietspiegel im Sinne des § 558d BGB anerkannt. Die Einordnung der Wohnung Tannenkamp in Feld C-3 (Altbau bis 1918, mittlere Lage, 60–90 m²) ist korrekt. Der Mittelwert von 9,20 EUR/m² bildet die Obergrenze einer für Herrn Tannenkamp wirtschaftlich noch vertretbaren Miete unter § 558 BGB.</w:t>
      </w:r>
    </w:p>
    <w:p>
      <w:pPr>
        <w:pStyle w:val="Heading3"/>
      </w:pPr>
      <w:r>
        <w:rPr>
          <w:rFonts w:ascii="Times New Roman" w:hAnsi="Times New Roman"/>
        </w:rPr>
        <w:t>Zur Eigenbedarfsandrohung</w:t>
      </w:r>
    </w:p>
    <w:p>
      <w:pPr>
        <w:jc w:val="left"/>
      </w:pPr>
      <w:r>
        <w:t>Der Mieterbund beobachtet seit 2022 eine Zunahme von Eigenbedarfsankündigungen in Plagwitz, die zeitlich mit Modernisierungsmaßnahmen zusammenfallen. In mehreren Fällen (u.a. Brandvorwerk, Körnerstraße) wurde anschließend kein tatsächlicher Eigenbedarf geltend gemacht; die Androhung diente offenbar der Einschüchterung widersetzlicher Mieter. Der Mieterbund empfiehlt, die Androhung zu dokumentieren und für den Fall einer formellen Kündigung sofort rechtlich gegenzusteuern.</w:t>
      </w:r>
    </w:p>
    <w:p/>
    <w:p>
      <w:pPr>
        <w:pStyle w:val="Heading2"/>
      </w:pPr>
      <w:r>
        <w:rPr>
          <w:rFonts w:ascii="Times New Roman" w:hAnsi="Times New Roman"/>
        </w:rPr>
        <w:t>Politischer Hintergrund — Quartiers-Initiative „Rettet den Kiez Plagwitz"</w:t>
      </w:r>
    </w:p>
    <w:p>
      <w:pPr>
        <w:jc w:val="left"/>
      </w:pPr>
      <w:r>
        <w:t>Die Initiative, deren Sprecher Herr Tannenkamp ist, hat sich seit Herbst 2025 zu einer stadtpolitisch sichtbaren Kraft entwickelt. Die Initiative hat im November 2025 eine Petition mit 1.847 Unterschriften beim Stadtrat eingereicht. Im Dezember 2025 haben die Stadtratsfraktionen SPD und Bündnis90/Die Grünen eine Anfrage an die Stadtverwaltung gerichtet, welche Instrumente des sozialen Mietrechts (Milieuschutzsatzung, Umwandlungsverbot) für Plagwitz in Betracht kommen. Die Stadtverwaltung prüft dies; ein Beschluss ist für 2027 möglich.</w:t>
      </w:r>
    </w:p>
    <w:p>
      <w:pPr>
        <w:jc w:val="left"/>
      </w:pPr>
      <w:r>
        <w:t>Der Mieterbund unterstützt die Initiative und stellt ihr Daten zum lokalen Mietpreisniveau zur Verfügung.</w:t>
      </w:r>
    </w:p>
    <w:p/>
    <w:p>
      <w:pPr>
        <w:pStyle w:val="Heading2"/>
      </w:pPr>
      <w:r>
        <w:rPr>
          <w:rFonts w:ascii="Times New Roman" w:hAnsi="Times New Roman"/>
        </w:rPr>
        <w:t>Zusammenfassung</w:t>
      </w:r>
    </w:p>
    <w:p>
      <w:pPr>
        <w:jc w:val="left"/>
      </w:pPr>
      <w:r>
        <w:t>Der Mieterbund Leipzig e.V. empfiehlt, das Verfahren vor dem AG Leipzig konsequent zu führen und gleichzeitig die stadtpolitische Dimension aktiv zu halten. Die Akte Tannenkamp ist geeignet, als Musterfall für die Diskussion über Modernisierungsschutz im sozialen Wohnungsbau in Leipzig zu dienen.</w:t>
      </w:r>
    </w:p>
    <w:p>
      <w:pPr>
        <w:jc w:val="left"/>
      </w:pPr>
      <w:r>
        <w:t>gez. Sabrina Hohlmann, Dipl.-Jur.</w:t>
      </w:r>
    </w:p>
    <w:p>
      <w:pPr>
        <w:jc w:val="left"/>
      </w:pPr>
      <w:r>
        <w:t>Mieterbund Leipzig e.V.</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