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Abschlussvermerk Rechtsanwältin / Mandatsverwaltung</w:t>
      </w:r>
    </w:p>
    <w:p>
      <w:pPr>
        <w:jc w:val="left"/>
      </w:pPr>
      <w:r>
        <w:rPr>
          <w:b/>
        </w:rPr>
        <w:t>Kanzlei-AZ:</w:t>
      </w:r>
      <w:r>
        <w:t xml:space="preserve"> KP-2026-0387</w:t>
      </w:r>
    </w:p>
    <w:p>
      <w:pPr>
        <w:jc w:val="left"/>
      </w:pPr>
      <w:r>
        <w:rPr>
          <w:b/>
        </w:rPr>
        <w:t>Datum:</w:t>
      </w:r>
      <w:r>
        <w:t xml:space="preserve"> 15. Oktober 2026</w:t>
      </w:r>
    </w:p>
    <w:p>
      <w:pPr>
        <w:jc w:val="left"/>
      </w:pPr>
      <w:r>
        <w:rPr>
          <w:b/>
        </w:rPr>
        <w:t>Verfasserin:</w:t>
      </w:r>
      <w:r>
        <w:t xml:space="preserve"> RAin Dr. Miriam Kupfer-Pfaff</w:t>
      </w:r>
    </w:p>
    <w:p/>
    <w:p>
      <w:pPr>
        <w:pStyle w:val="Heading2"/>
      </w:pPr>
      <w:r>
        <w:rPr>
          <w:rFonts w:ascii="Times New Roman" w:hAnsi="Times New Roman"/>
        </w:rPr>
        <w:t>Mandatsstand zum 15.10.2026</w:t>
      </w:r>
    </w:p>
    <w:p>
      <w:pPr>
        <w:pStyle w:val="Heading3"/>
      </w:pPr>
      <w:r>
        <w:rPr>
          <w:rFonts w:ascii="Times New Roman" w:hAnsi="Times New Roman"/>
        </w:rPr>
        <w:t>Erledigte Aufgaben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Mandatsübernahme, Vollmacht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Deckungsanfrage DEVK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Deckungszusage erteilt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20.02.2026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 Modernisierungsankündigung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Beanstandungen formuliert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Härteeinwand § 555d Abs. 2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Fristgerecht versandt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 Betriebskostenabrechnung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Rüge erhoben; Belegeinsicht noch offen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Forderungsschreiben Mietminderung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Versandt; zurückgewiesen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28.01.2026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Gutachten Schollbach beauftragt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Vollgutachten erhalten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Klageschrift AG Leipzig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Eingereicht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Replik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Eingereicht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Mediationsversuch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Gescheitert (Vermieter nicht erschienen)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Urteil AG Leipzig 1 C 417/26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Teilerfolg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14.09.2026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Berufungserwiderung LG Leipzig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Vorbereitung (Frist 20.12.2026)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Verfahrensstand im Detail</w:t>
      </w:r>
    </w:p>
    <w:p>
      <w:pPr>
        <w:pStyle w:val="Heading3"/>
      </w:pPr>
      <w:r>
        <w:rPr>
          <w:rFonts w:ascii="Times New Roman" w:hAnsi="Times New Roman"/>
        </w:rPr>
        <w:t>AG Leipzig 1 C 417/26 — Urteil</w:t>
      </w:r>
    </w:p>
    <w:p>
      <w:pPr>
        <w:pStyle w:val="ListBullet"/>
      </w:pPr>
      <w:r>
        <w:t xml:space="preserve">Mietminderung 12 %: </w:t>
      </w:r>
      <w:r>
        <w:rPr>
          <w:b/>
        </w:rPr>
        <w:t>vollständig obsiegt</w:t>
      </w:r>
      <w:r>
        <w:t xml:space="preserve"> (Antrag 2, Feststellung)</w:t>
      </w:r>
    </w:p>
    <w:p>
      <w:pPr>
        <w:pStyle w:val="ListBullet"/>
      </w:pPr>
      <w:r>
        <w:t xml:space="preserve">Rückzahlung rückständige Minderung 461,10 EUR + Zinsen: </w:t>
      </w:r>
      <w:r>
        <w:rPr>
          <w:b/>
        </w:rPr>
        <w:t>vollständig obsiegt</w:t>
      </w:r>
      <w:r>
        <w:t xml:space="preserve"> (Antrag 1)</w:t>
      </w:r>
    </w:p>
    <w:p>
      <w:pPr>
        <w:pStyle w:val="ListBullet"/>
      </w:pPr>
      <w:r>
        <w:t xml:space="preserve">Mangelbeseitigungspflicht: </w:t>
      </w:r>
      <w:r>
        <w:rPr>
          <w:b/>
        </w:rPr>
        <w:t>vollständig obsiegt</w:t>
      </w:r>
      <w:r>
        <w:t xml:space="preserve"> (Antrag 3)</w:t>
      </w:r>
    </w:p>
    <w:p>
      <w:pPr>
        <w:pStyle w:val="ListBullet"/>
      </w:pPr>
      <w:r>
        <w:t xml:space="preserve">Schadensersatz SV-Kosten: </w:t>
      </w:r>
      <w:r>
        <w:rPr>
          <w:b/>
        </w:rPr>
        <w:t>teilweise obsiegt</w:t>
      </w:r>
      <w:r>
        <w:t xml:space="preserve"> (930,00 EUR statt 1.620,00 EUR)</w:t>
      </w:r>
    </w:p>
    <w:p>
      <w:pPr>
        <w:pStyle w:val="ListBullet"/>
      </w:pPr>
      <w:r>
        <w:t>Gesamtkostenquote: 85 % zu Lasten Beklagte / 15 % zu Lasten Kläger</w:t>
      </w:r>
    </w:p>
    <w:p>
      <w:pPr>
        <w:pStyle w:val="Heading3"/>
      </w:pPr>
      <w:r>
        <w:rPr>
          <w:rFonts w:ascii="Times New Roman" w:hAnsi="Times New Roman"/>
        </w:rPr>
        <w:t>LG Leipzig 6 S 184/26 — Berufung</w:t>
      </w:r>
    </w:p>
    <w:p>
      <w:pPr>
        <w:pStyle w:val="ListBullet"/>
      </w:pPr>
      <w:r>
        <w:t>Anhängig; Berufungserwiderung bis 20.12.2026</w:t>
      </w:r>
    </w:p>
    <w:p>
      <w:pPr>
        <w:pStyle w:val="ListBullet"/>
      </w:pPr>
      <w:r>
        <w:t>Verhandlungstermin: voraussichtlich Februar 2027</w:t>
      </w:r>
    </w:p>
    <w:p>
      <w:pPr>
        <w:pStyle w:val="ListBullet"/>
      </w:pPr>
      <w:r>
        <w:t>Prognose: Bestätigung des Urteils erwartet; SV-Gutachten Schollbach ist gut begründet</w:t>
      </w:r>
    </w:p>
    <w:p>
      <w:pPr>
        <w:pStyle w:val="Heading3"/>
      </w:pPr>
      <w:r>
        <w:rPr>
          <w:rFonts w:ascii="Times New Roman" w:hAnsi="Times New Roman"/>
        </w:rPr>
        <w:t>Betriebskostenabrechnung 2024</w:t>
      </w:r>
    </w:p>
    <w:p>
      <w:pPr>
        <w:pStyle w:val="ListBullet"/>
      </w:pPr>
      <w:r>
        <w:t>Aufzugskosten-Rüge: Noch keine Korrektur durch Vermieter</w:t>
      </w:r>
    </w:p>
    <w:p>
      <w:pPr>
        <w:pStyle w:val="ListBullet"/>
      </w:pPr>
      <w:r>
        <w:t>Belegeinsicht: Termin vereinbart für 28.10.2026 (Hausverwaltungsbüro)</w:t>
      </w:r>
    </w:p>
    <w:p>
      <w:pPr>
        <w:pStyle w:val="ListBullet"/>
      </w:pPr>
      <w:r>
        <w:t>Weiteres: Ggf. separate Klage auf Korrektur, falls Einigung scheitert</w:t>
      </w:r>
    </w:p>
    <w:p>
      <w:pPr>
        <w:pStyle w:val="Heading3"/>
      </w:pPr>
      <w:r>
        <w:rPr>
          <w:rFonts w:ascii="Times New Roman" w:hAnsi="Times New Roman"/>
        </w:rPr>
        <w:t>Modernisierungsmieterhöhung</w:t>
      </w:r>
    </w:p>
    <w:p>
      <w:pPr>
        <w:pStyle w:val="ListBullet"/>
      </w:pPr>
      <w:r>
        <w:t>Formelles Mieterhöhungsverlangen nach § 559b BGB noch nicht zugegangen</w:t>
      </w:r>
    </w:p>
    <w:p>
      <w:pPr>
        <w:pStyle w:val="ListBullet"/>
      </w:pPr>
      <w:r>
        <w:t>Modernisierungsbeginn: Vermieter hat Baubeginn auf Oktober 2026 verschoben (Baugenehmigungsverzögerung)</w:t>
      </w:r>
    </w:p>
    <w:p>
      <w:pPr>
        <w:pStyle w:val="ListBullet"/>
      </w:pPr>
      <w:r>
        <w:t>Sobald das förmliche Verlangen zugeht, wird dieses geprüft und ggf. Widerspruch erhoben</w:t>
      </w:r>
    </w:p>
    <w:p/>
    <w:p>
      <w:pPr>
        <w:pStyle w:val="Heading2"/>
      </w:pPr>
      <w:r>
        <w:rPr>
          <w:rFonts w:ascii="Times New Roman" w:hAnsi="Times New Roman"/>
        </w:rPr>
        <w:t>Kostenabrechnung (vorläufig)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Beratungsgebühr Erstgespräch (bereits gezahlt)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226,10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Geschäftsgebühr Nr. 2300 VV RVG (außergerichtlich)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535,60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Prozessgebühr Nr. 3100 VV RVG (1. Instanz)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729,23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Termingebühr Nr. 3104 VV RVG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729,23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Auslagen / Kommunikation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81,00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Gutachtenkosten Schollbach (vorverauslagt)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1.476,60 EUR (inkl. MwSt.)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Gesamtvorschuss bisher erbracht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2.500,00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Offene Erstattung durch Beklagte (85 % Kosten)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wird nach Kostenfestsetzung berechnet</w:t>
            </w:r>
          </w:p>
        </w:tc>
      </w:tr>
    </w:tbl>
    <w:p>
      <w:pPr>
        <w:jc w:val="left"/>
      </w:pPr>
      <w:r>
        <w:t>Die DEVK Rechtsschutzversicherung hat Kostendeckung für beide Instanzen bestätigt.</w:t>
      </w:r>
    </w:p>
    <w:p/>
    <w:p>
      <w:pPr>
        <w:pStyle w:val="Heading2"/>
      </w:pPr>
      <w:r>
        <w:rPr>
          <w:rFonts w:ascii="Times New Roman" w:hAnsi="Times New Roman"/>
        </w:rPr>
        <w:t>Empfehlungen an Mandant</w:t>
      </w:r>
    </w:p>
    <w:p>
      <w:pPr>
        <w:pStyle w:val="ListNumber"/>
      </w:pPr>
      <w:r>
        <w:rPr>
          <w:b/>
        </w:rPr>
        <w:t>Berufungserwiderung abwarten</w:t>
      </w:r>
      <w:r>
        <w:t xml:space="preserve"> — das Verfahren vor dem LG Leipzig wird voraussichtlich die Position stärken.</w:t>
      </w:r>
    </w:p>
    <w:p>
      <w:pPr>
        <w:pStyle w:val="ListNumber"/>
      </w:pPr>
      <w:r>
        <w:rPr>
          <w:b/>
        </w:rPr>
        <w:t>Betriebskosten-Belegeinsicht</w:t>
      </w:r>
      <w:r>
        <w:t xml:space="preserve"> am 28.10.2026 wahrnehmen; Vollmacht erteilt.</w:t>
      </w:r>
    </w:p>
    <w:p>
      <w:pPr>
        <w:pStyle w:val="ListNumber"/>
      </w:pPr>
      <w:r>
        <w:rPr>
          <w:b/>
        </w:rPr>
        <w:t>Modernisierungsankündigung</w:t>
      </w:r>
      <w:r>
        <w:t xml:space="preserve"> — Vermieter hat noch keinen neuen Termin für Baubeginn bestätigt; Situation beobachten.</w:t>
      </w:r>
    </w:p>
    <w:p>
      <w:pPr>
        <w:pStyle w:val="ListNumber"/>
      </w:pPr>
      <w:r>
        <w:rPr>
          <w:b/>
        </w:rPr>
        <w:t>Eigenbedarfskündigung</w:t>
      </w:r>
      <w:r>
        <w:t xml:space="preserve"> — weiterhin keine formelle Kündigung; Drohung bleibt latent; Initiative aktiv behalten.</w:t>
      </w:r>
    </w:p>
    <w:p>
      <w:pPr>
        <w:pStyle w:val="ListNumber"/>
      </w:pPr>
      <w:r>
        <w:rPr>
          <w:b/>
        </w:rPr>
        <w:t>Quartiers-Initiative</w:t>
      </w:r>
      <w:r>
        <w:t xml:space="preserve"> — politische Begleitung hilft als informeller Schutz; Pressekonferenz September 2026 gut wahrgenommen.</w:t>
      </w:r>
    </w:p>
    <w:p/>
    <w:p>
      <w:pPr>
        <w:pStyle w:val="Heading2"/>
      </w:pPr>
      <w:r>
        <w:rPr>
          <w:rFonts w:ascii="Times New Roman" w:hAnsi="Times New Roman"/>
        </w:rPr>
        <w:t>Aktenablagevermerk</w:t>
      </w:r>
    </w:p>
    <w:p>
      <w:pPr>
        <w:jc w:val="left"/>
      </w:pPr>
      <w:r>
        <w:t>Diese Akte bleibt bis zum rechtskräftigen Abschluss des Berufungsverfahrens (LG Leipzig 6 S 184/26) aktiv. Nach Rechtskraft erfolgt vollständige Kostenabrechnung und Aktenabschluss. Aktenaufbewahrungsfrist nach BRAO: 6 Jahre ab Mandatsende.</w:t>
      </w:r>
    </w:p>
    <w:p>
      <w:pPr>
        <w:jc w:val="left"/>
      </w:pPr>
      <w:r>
        <w:t>gez. RAin Dr. Miriam Kupfer-Pfaff</w:t>
      </w:r>
    </w:p>
    <w:p>
      <w:pPr>
        <w:jc w:val="left"/>
      </w:pPr>
      <w:r>
        <w:t>Kanzlei Kupfer-Pfaff &amp; Partner, Leipzig, 15.10.2026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