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Grundstücke, Lage und Grenze</w:t>
      </w:r>
    </w:p>
    <w:p>
      <w:pPr>
        <w:pStyle w:val="Heading2"/>
      </w:pPr>
      <w:r>
        <w:rPr>
          <w:rFonts w:ascii="Times New Roman" w:hAnsi="Times New Roman"/>
        </w:rPr>
        <w:t>Grundstück Albers</w:t>
      </w:r>
    </w:p>
    <w:p>
      <w:pPr>
        <w:jc w:val="left"/>
      </w:pPr>
      <w:r>
        <w:t>Eigentümer: Marianne Albers und Dr. Henning Albers zu je 1/2</w:t>
      </w:r>
    </w:p>
    <w:p>
      <w:pPr>
        <w:jc w:val="left"/>
      </w:pPr>
      <w:r>
        <w:t>Adresse: Rosengartenstraße 17, 50996 Köln</w:t>
      </w:r>
    </w:p>
    <w:p>
      <w:pPr>
        <w:jc w:val="left"/>
      </w:pPr>
      <w:r>
        <w:t>Flurstück: Gemarkung Rodenkirchen, Flur 11, Flurstück 442/17</w:t>
      </w:r>
    </w:p>
    <w:p>
      <w:pPr>
        <w:jc w:val="left"/>
      </w:pPr>
      <w:r>
        <w:t>Nutzung: Reihenendhaus mit Wintergarten, Garage, Gartenweg, kleiner Terrasse</w:t>
      </w:r>
    </w:p>
    <w:p>
      <w:pPr>
        <w:jc w:val="left"/>
      </w:pPr>
      <w:r>
        <w:t>Erwerb: 2011</w:t>
      </w:r>
    </w:p>
    <w:p>
      <w:pPr>
        <w:pStyle w:val="Heading2"/>
      </w:pPr>
      <w:r>
        <w:rPr>
          <w:rFonts w:ascii="Times New Roman" w:hAnsi="Times New Roman"/>
        </w:rPr>
        <w:t>Grundstück Kessler</w:t>
      </w:r>
    </w:p>
    <w:p>
      <w:pPr>
        <w:jc w:val="left"/>
      </w:pPr>
      <w:r>
        <w:t>Eigentümer: Stefan Kessler und Lara Kessler zu je 1/2</w:t>
      </w:r>
    </w:p>
    <w:p>
      <w:pPr>
        <w:jc w:val="left"/>
      </w:pPr>
      <w:r>
        <w:t>Adresse: Rosengartenstraße 19, 50996 Köln</w:t>
      </w:r>
    </w:p>
    <w:p>
      <w:pPr>
        <w:jc w:val="left"/>
      </w:pPr>
      <w:r>
        <w:t>Flurstück: Gemarkung Rodenkirchen, Flur 11, Flurstück 442/18</w:t>
      </w:r>
    </w:p>
    <w:p>
      <w:pPr>
        <w:jc w:val="left"/>
      </w:pPr>
      <w:r>
        <w:t>Nutzung: Reihenmittelhaus mit Gartenumbau, Carport, Poolgrube, Außenküche</w:t>
      </w:r>
    </w:p>
    <w:p>
      <w:pPr>
        <w:jc w:val="left"/>
      </w:pPr>
      <w:r>
        <w:t>Erwerb: 2023</w:t>
      </w:r>
    </w:p>
    <w:p>
      <w:pPr>
        <w:pStyle w:val="Heading2"/>
      </w:pPr>
      <w:r>
        <w:rPr>
          <w:rFonts w:ascii="Times New Roman" w:hAnsi="Times New Roman"/>
        </w:rPr>
        <w:t>Grenzsituation</w:t>
      </w:r>
    </w:p>
    <w:p>
      <w:pPr>
        <w:jc w:val="left"/>
      </w:pPr>
      <w:r>
        <w:t>Die Grundstücke sind etwa 6,10 m breit. Zwischen Garage Albers und Garten Kessler läuft ein schmaler Pflasterweg auf Albers-Seite. Die Grenze ist im hinteren Bereich durch eine niedrige Mauer aus 2017 markiert. Im vorderen Bereich gibt es keinen sichtbaren Grenzstein mehr. Frau Albers sagt, der Grenzstein sei "beim Carportfundament verschwunden". Herr Kessler behauptet, es habe nie einen gegeben.</w:t>
      </w:r>
    </w:p>
    <w:p>
      <w:pPr>
        <w:pStyle w:val="Heading2"/>
      </w:pPr>
      <w:r>
        <w:rPr>
          <w:rFonts w:ascii="Times New Roman" w:hAnsi="Times New Roman"/>
        </w:rPr>
        <w:t>Liegenschaftskarte nach Mandantenbeschreibung</w:t>
      </w:r>
    </w:p>
    <w:p>
      <w:pPr>
        <w:pStyle w:val="ListBullet"/>
      </w:pPr>
      <w:r>
        <w:t>Grenze verläuft gerade von der Straßenfront bis zur hinteren Hecke.</w:t>
      </w:r>
    </w:p>
    <w:p>
      <w:pPr>
        <w:pStyle w:val="ListBullet"/>
      </w:pPr>
      <w:r>
        <w:t>Carport Kessler steht links neben dessen Haus, unmittelbar an der Grenze zu Albers.</w:t>
      </w:r>
    </w:p>
    <w:p>
      <w:pPr>
        <w:pStyle w:val="ListBullet"/>
      </w:pPr>
      <w:r>
        <w:t>Garage Albers steht ca. 55 cm von der Grenze entfernt.</w:t>
      </w:r>
    </w:p>
    <w:p>
      <w:pPr>
        <w:pStyle w:val="ListBullet"/>
      </w:pPr>
      <w:r>
        <w:t>Platane steht im hinteren Drittel des Kessler-Gartens, Stammmitte ca. 1,20 m von Grenze.</w:t>
      </w:r>
    </w:p>
    <w:p>
      <w:pPr>
        <w:pStyle w:val="ListBullet"/>
      </w:pPr>
      <w:r>
        <w:t>Grenzmauer Albers läuft ab Garage bis hintere Terrasse, Höhe ca. 80 cm.</w:t>
      </w:r>
    </w:p>
    <w:p>
      <w:pPr>
        <w:pStyle w:val="Heading2"/>
      </w:pPr>
      <w:r>
        <w:rPr>
          <w:rFonts w:ascii="Times New Roman" w:hAnsi="Times New Roman"/>
        </w:rPr>
        <w:t>Grenzrisiko</w:t>
      </w:r>
    </w:p>
    <w:p>
      <w:pPr>
        <w:jc w:val="left"/>
      </w:pPr>
      <w:r>
        <w:t>Die Mandanten haben mit einem 5-m-Bandmaß und einer Smartphone-Wasserwaage gemessen. Das reicht für eine erste Verdachtsnotiz, nicht für die gerichtsfeste Überbauprüfung. Benötigt werden:</w:t>
      </w:r>
    </w:p>
    <w:p>
      <w:pPr>
        <w:pStyle w:val="ListNumber"/>
      </w:pPr>
      <w:r>
        <w:t>aktueller amtlicher Lageplan,</w:t>
      </w:r>
    </w:p>
    <w:p>
      <w:pPr>
        <w:pStyle w:val="ListNumber"/>
      </w:pPr>
      <w:r>
        <w:t>Vermessung oder Grenzanzeige,</w:t>
      </w:r>
    </w:p>
    <w:p>
      <w:pPr>
        <w:pStyle w:val="ListNumber"/>
      </w:pPr>
      <w:r>
        <w:t>Bauakte Carport,</w:t>
      </w:r>
    </w:p>
    <w:p>
      <w:pPr>
        <w:pStyle w:val="ListNumber"/>
      </w:pPr>
      <w:r>
        <w:t>Fotos der verschwundenen Grenzmarkierung,</w:t>
      </w:r>
    </w:p>
    <w:p>
      <w:pPr>
        <w:pStyle w:val="ListNumber"/>
      </w:pPr>
      <w:r>
        <w:t>Zeuge: Herr Neubert aus Nr. 15 will den alten Grenzstein gesehen haben.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