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Fotodokumentation und Messliste</w:t>
      </w:r>
    </w:p>
    <w:p>
      <w:pPr>
        <w:pStyle w:val="Heading2"/>
      </w:pPr>
      <w:r>
        <w:rPr>
          <w:rFonts w:ascii="Times New Roman" w:hAnsi="Times New Roman"/>
        </w:rPr>
        <w:t>Fotogruppen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Foto-ID</w:t>
            </w:r>
          </w:p>
        </w:tc>
        <w:tc>
          <w:tcPr>
            <w:tcW w:type="dxa" w:w="1814"/>
          </w:tcPr>
          <w:p>
            <w:r>
              <w:rPr>
                <w:rFonts w:ascii="Times New Roman" w:hAnsi="Times New Roman"/>
                <w:b/>
                <w:sz w:val="20"/>
              </w:rPr>
              <w:t>Datum</w:t>
            </w:r>
          </w:p>
        </w:tc>
        <w:tc>
          <w:tcPr>
            <w:tcW w:type="dxa" w:w="1814"/>
          </w:tcPr>
          <w:p>
            <w:r>
              <w:rPr>
                <w:rFonts w:ascii="Times New Roman" w:hAnsi="Times New Roman"/>
                <w:b/>
                <w:sz w:val="20"/>
              </w:rPr>
              <w:t>Motiv</w:t>
            </w:r>
          </w:p>
        </w:tc>
        <w:tc>
          <w:tcPr>
            <w:tcW w:type="dxa" w:w="1814"/>
          </w:tcPr>
          <w:p>
            <w:r>
              <w:rPr>
                <w:rFonts w:ascii="Times New Roman" w:hAnsi="Times New Roman"/>
                <w:b/>
                <w:sz w:val="20"/>
              </w:rPr>
              <w:t>Aussage</w:t>
            </w:r>
          </w:p>
        </w:tc>
        <w:tc>
          <w:tcPr>
            <w:tcW w:type="dxa" w:w="1814"/>
          </w:tcPr>
          <w:p>
            <w:r>
              <w:rPr>
                <w:rFonts w:ascii="Times New Roman" w:hAnsi="Times New Roman"/>
                <w:b/>
                <w:sz w:val="20"/>
              </w:rPr>
              <w:t>Problem</w:t>
            </w:r>
          </w:p>
        </w:tc>
      </w:tr>
      <w:tr>
        <w:tc>
          <w:tcPr>
            <w:tcW w:type="dxa" w:w="1814"/>
          </w:tcPr>
          <w:p>
            <w:r>
              <w:rPr>
                <w:rFonts w:ascii="Times New Roman" w:hAnsi="Times New Roman"/>
                <w:sz w:val="20"/>
              </w:rPr>
              <w:t>F-001</w:t>
            </w:r>
          </w:p>
        </w:tc>
        <w:tc>
          <w:tcPr>
            <w:tcW w:type="dxa" w:w="1814"/>
          </w:tcPr>
          <w:p>
            <w:r>
              <w:rPr>
                <w:rFonts w:ascii="Times New Roman" w:hAnsi="Times New Roman"/>
                <w:sz w:val="20"/>
              </w:rPr>
              <w:t>11.09.2024</w:t>
            </w:r>
          </w:p>
        </w:tc>
        <w:tc>
          <w:tcPr>
            <w:tcW w:type="dxa" w:w="1814"/>
          </w:tcPr>
          <w:p>
            <w:r>
              <w:rPr>
                <w:rFonts w:ascii="Times New Roman" w:hAnsi="Times New Roman"/>
                <w:sz w:val="20"/>
              </w:rPr>
              <w:t>Carport-Dachrahmen von Albers-Garage</w:t>
            </w:r>
          </w:p>
        </w:tc>
        <w:tc>
          <w:tcPr>
            <w:tcW w:type="dxa" w:w="1814"/>
          </w:tcPr>
          <w:p>
            <w:r>
              <w:rPr>
                <w:rFonts w:ascii="Times New Roman" w:hAnsi="Times New Roman"/>
                <w:sz w:val="20"/>
              </w:rPr>
              <w:t>Dachkante sehr nah an Grenze</w:t>
            </w:r>
          </w:p>
        </w:tc>
        <w:tc>
          <w:tcPr>
            <w:tcW w:type="dxa" w:w="1814"/>
          </w:tcPr>
          <w:p>
            <w:r>
              <w:rPr>
                <w:rFonts w:ascii="Times New Roman" w:hAnsi="Times New Roman"/>
                <w:sz w:val="20"/>
              </w:rPr>
              <w:t>keine Messlatte</w:t>
            </w:r>
          </w:p>
        </w:tc>
      </w:tr>
      <w:tr>
        <w:tc>
          <w:tcPr>
            <w:tcW w:type="dxa" w:w="1814"/>
          </w:tcPr>
          <w:p>
            <w:r>
              <w:rPr>
                <w:rFonts w:ascii="Times New Roman" w:hAnsi="Times New Roman"/>
                <w:sz w:val="20"/>
              </w:rPr>
              <w:t>F-014</w:t>
            </w:r>
          </w:p>
        </w:tc>
        <w:tc>
          <w:tcPr>
            <w:tcW w:type="dxa" w:w="1814"/>
          </w:tcPr>
          <w:p>
            <w:r>
              <w:rPr>
                <w:rFonts w:ascii="Times New Roman" w:hAnsi="Times New Roman"/>
                <w:sz w:val="20"/>
              </w:rPr>
              <w:t>18.09.2024</w:t>
            </w:r>
          </w:p>
        </w:tc>
        <w:tc>
          <w:tcPr>
            <w:tcW w:type="dxa" w:w="1814"/>
          </w:tcPr>
          <w:p>
            <w:r>
              <w:rPr>
                <w:rFonts w:ascii="Times New Roman" w:hAnsi="Times New Roman"/>
                <w:sz w:val="20"/>
              </w:rPr>
              <w:t>Dachrinne Kessler</w:t>
            </w:r>
          </w:p>
        </w:tc>
        <w:tc>
          <w:tcPr>
            <w:tcW w:type="dxa" w:w="1814"/>
          </w:tcPr>
          <w:p>
            <w:r>
              <w:rPr>
                <w:rFonts w:ascii="Times New Roman" w:hAnsi="Times New Roman"/>
                <w:sz w:val="20"/>
              </w:rPr>
              <w:t>Rinne zeigt Richtung Albers-Weg</w:t>
            </w:r>
          </w:p>
        </w:tc>
        <w:tc>
          <w:tcPr>
            <w:tcW w:type="dxa" w:w="1814"/>
          </w:tcPr>
          <w:p>
            <w:r>
              <w:rPr>
                <w:rFonts w:ascii="Times New Roman" w:hAnsi="Times New Roman"/>
                <w:sz w:val="20"/>
              </w:rPr>
              <w:t>Grenzlinie nicht sichtbar</w:t>
            </w:r>
          </w:p>
        </w:tc>
      </w:tr>
      <w:tr>
        <w:tc>
          <w:tcPr>
            <w:tcW w:type="dxa" w:w="1814"/>
          </w:tcPr>
          <w:p>
            <w:r>
              <w:rPr>
                <w:rFonts w:ascii="Times New Roman" w:hAnsi="Times New Roman"/>
                <w:sz w:val="20"/>
              </w:rPr>
              <w:t>F-022</w:t>
            </w:r>
          </w:p>
        </w:tc>
        <w:tc>
          <w:tcPr>
            <w:tcW w:type="dxa" w:w="1814"/>
          </w:tcPr>
          <w:p>
            <w:r>
              <w:rPr>
                <w:rFonts w:ascii="Times New Roman" w:hAnsi="Times New Roman"/>
                <w:sz w:val="20"/>
              </w:rPr>
              <w:t>02.10.2024</w:t>
            </w:r>
          </w:p>
        </w:tc>
        <w:tc>
          <w:tcPr>
            <w:tcW w:type="dxa" w:w="1814"/>
          </w:tcPr>
          <w:p>
            <w:r>
              <w:rPr>
                <w:rFonts w:ascii="Times New Roman" w:hAnsi="Times New Roman"/>
                <w:sz w:val="20"/>
              </w:rPr>
              <w:t>fertiger Carport</w:t>
            </w:r>
          </w:p>
        </w:tc>
        <w:tc>
          <w:tcPr>
            <w:tcW w:type="dxa" w:w="1814"/>
          </w:tcPr>
          <w:p>
            <w:r>
              <w:rPr>
                <w:rFonts w:ascii="Times New Roman" w:hAnsi="Times New Roman"/>
                <w:sz w:val="20"/>
              </w:rPr>
              <w:t>Gesamtansicht</w:t>
            </w:r>
          </w:p>
        </w:tc>
        <w:tc>
          <w:tcPr>
            <w:tcW w:type="dxa" w:w="1814"/>
          </w:tcPr>
          <w:p>
            <w:r>
              <w:rPr>
                <w:rFonts w:ascii="Times New Roman" w:hAnsi="Times New Roman"/>
                <w:sz w:val="20"/>
              </w:rPr>
              <w:t>perspektivisch schief</w:t>
            </w:r>
          </w:p>
        </w:tc>
      </w:tr>
      <w:tr>
        <w:tc>
          <w:tcPr>
            <w:tcW w:type="dxa" w:w="1814"/>
          </w:tcPr>
          <w:p>
            <w:r>
              <w:rPr>
                <w:rFonts w:ascii="Times New Roman" w:hAnsi="Times New Roman"/>
                <w:sz w:val="20"/>
              </w:rPr>
              <w:t>F-031</w:t>
            </w:r>
          </w:p>
        </w:tc>
        <w:tc>
          <w:tcPr>
            <w:tcW w:type="dxa" w:w="1814"/>
          </w:tcPr>
          <w:p>
            <w:r>
              <w:rPr>
                <w:rFonts w:ascii="Times New Roman" w:hAnsi="Times New Roman"/>
                <w:sz w:val="20"/>
              </w:rPr>
              <w:t>17.10.2024</w:t>
            </w:r>
          </w:p>
        </w:tc>
        <w:tc>
          <w:tcPr>
            <w:tcW w:type="dxa" w:w="1814"/>
          </w:tcPr>
          <w:p>
            <w:r>
              <w:rPr>
                <w:rFonts w:ascii="Times New Roman" w:hAnsi="Times New Roman"/>
                <w:sz w:val="20"/>
              </w:rPr>
              <w:t>Maßband von Mauer zur Rinne</w:t>
            </w:r>
          </w:p>
        </w:tc>
        <w:tc>
          <w:tcPr>
            <w:tcW w:type="dxa" w:w="1814"/>
          </w:tcPr>
          <w:p>
            <w:r>
              <w:rPr>
                <w:rFonts w:ascii="Times New Roman" w:hAnsi="Times New Roman"/>
                <w:sz w:val="20"/>
              </w:rPr>
              <w:t>22 cm Überstand behauptet</w:t>
            </w:r>
          </w:p>
        </w:tc>
        <w:tc>
          <w:tcPr>
            <w:tcW w:type="dxa" w:w="1814"/>
          </w:tcPr>
          <w:p>
            <w:r>
              <w:rPr>
                <w:rFonts w:ascii="Times New Roman" w:hAnsi="Times New Roman"/>
                <w:sz w:val="20"/>
              </w:rPr>
              <w:t>Maßpunkt unklar</w:t>
            </w:r>
          </w:p>
        </w:tc>
      </w:tr>
      <w:tr>
        <w:tc>
          <w:tcPr>
            <w:tcW w:type="dxa" w:w="1814"/>
          </w:tcPr>
          <w:p>
            <w:r>
              <w:rPr>
                <w:rFonts w:ascii="Times New Roman" w:hAnsi="Times New Roman"/>
                <w:sz w:val="20"/>
              </w:rPr>
              <w:t>F-055</w:t>
            </w:r>
          </w:p>
        </w:tc>
        <w:tc>
          <w:tcPr>
            <w:tcW w:type="dxa" w:w="1814"/>
          </w:tcPr>
          <w:p>
            <w:r>
              <w:rPr>
                <w:rFonts w:ascii="Times New Roman" w:hAnsi="Times New Roman"/>
                <w:sz w:val="20"/>
              </w:rPr>
              <w:t>12.02.2025</w:t>
            </w:r>
          </w:p>
        </w:tc>
        <w:tc>
          <w:tcPr>
            <w:tcW w:type="dxa" w:w="1814"/>
          </w:tcPr>
          <w:p>
            <w:r>
              <w:rPr>
                <w:rFonts w:ascii="Times New Roman" w:hAnsi="Times New Roman"/>
                <w:sz w:val="20"/>
              </w:rPr>
              <w:t>Baugrube Pool</w:t>
            </w:r>
          </w:p>
        </w:tc>
        <w:tc>
          <w:tcPr>
            <w:tcW w:type="dxa" w:w="1814"/>
          </w:tcPr>
          <w:p>
            <w:r>
              <w:rPr>
                <w:rFonts w:ascii="Times New Roman" w:hAnsi="Times New Roman"/>
                <w:sz w:val="20"/>
              </w:rPr>
              <w:t>offene Grube neben Grenzmauer</w:t>
            </w:r>
          </w:p>
        </w:tc>
        <w:tc>
          <w:tcPr>
            <w:tcW w:type="dxa" w:w="1814"/>
          </w:tcPr>
          <w:p>
            <w:r>
              <w:rPr>
                <w:rFonts w:ascii="Times New Roman" w:hAnsi="Times New Roman"/>
                <w:sz w:val="20"/>
              </w:rPr>
              <w:t>Tiefe nicht messbar</w:t>
            </w:r>
          </w:p>
        </w:tc>
      </w:tr>
      <w:tr>
        <w:tc>
          <w:tcPr>
            <w:tcW w:type="dxa" w:w="1814"/>
          </w:tcPr>
          <w:p>
            <w:r>
              <w:rPr>
                <w:rFonts w:ascii="Times New Roman" w:hAnsi="Times New Roman"/>
                <w:sz w:val="20"/>
              </w:rPr>
              <w:t>F-063</w:t>
            </w:r>
          </w:p>
        </w:tc>
        <w:tc>
          <w:tcPr>
            <w:tcW w:type="dxa" w:w="1814"/>
          </w:tcPr>
          <w:p>
            <w:r>
              <w:rPr>
                <w:rFonts w:ascii="Times New Roman" w:hAnsi="Times New Roman"/>
                <w:sz w:val="20"/>
              </w:rPr>
              <w:t>20.02.2025</w:t>
            </w:r>
          </w:p>
        </w:tc>
        <w:tc>
          <w:tcPr>
            <w:tcW w:type="dxa" w:w="1814"/>
          </w:tcPr>
          <w:p>
            <w:r>
              <w:rPr>
                <w:rFonts w:ascii="Times New Roman" w:hAnsi="Times New Roman"/>
                <w:sz w:val="20"/>
              </w:rPr>
              <w:t>Riss in Grenzmauer</w:t>
            </w:r>
          </w:p>
        </w:tc>
        <w:tc>
          <w:tcPr>
            <w:tcW w:type="dxa" w:w="1814"/>
          </w:tcPr>
          <w:p>
            <w:r>
              <w:rPr>
                <w:rFonts w:ascii="Times New Roman" w:hAnsi="Times New Roman"/>
                <w:sz w:val="20"/>
              </w:rPr>
              <w:t>vertikaler Riss ca. 4 mm</w:t>
            </w:r>
          </w:p>
        </w:tc>
        <w:tc>
          <w:tcPr>
            <w:tcW w:type="dxa" w:w="1814"/>
          </w:tcPr>
          <w:p>
            <w:r>
              <w:rPr>
                <w:rFonts w:ascii="Times New Roman" w:hAnsi="Times New Roman"/>
                <w:sz w:val="20"/>
              </w:rPr>
              <w:t>Vergleichsfoto fehlt</w:t>
            </w:r>
          </w:p>
        </w:tc>
      </w:tr>
      <w:tr>
        <w:tc>
          <w:tcPr>
            <w:tcW w:type="dxa" w:w="1814"/>
          </w:tcPr>
          <w:p>
            <w:r>
              <w:rPr>
                <w:rFonts w:ascii="Times New Roman" w:hAnsi="Times New Roman"/>
                <w:sz w:val="20"/>
              </w:rPr>
              <w:t>F-082</w:t>
            </w:r>
          </w:p>
        </w:tc>
        <w:tc>
          <w:tcPr>
            <w:tcW w:type="dxa" w:w="1814"/>
          </w:tcPr>
          <w:p>
            <w:r>
              <w:rPr>
                <w:rFonts w:ascii="Times New Roman" w:hAnsi="Times New Roman"/>
                <w:sz w:val="20"/>
              </w:rPr>
              <w:t>19.04.2025</w:t>
            </w:r>
          </w:p>
        </w:tc>
        <w:tc>
          <w:tcPr>
            <w:tcW w:type="dxa" w:w="1814"/>
          </w:tcPr>
          <w:p>
            <w:r>
              <w:rPr>
                <w:rFonts w:ascii="Times New Roman" w:hAnsi="Times New Roman"/>
                <w:sz w:val="20"/>
              </w:rPr>
              <w:t>Platanenäste über Wintergarten</w:t>
            </w:r>
          </w:p>
        </w:tc>
        <w:tc>
          <w:tcPr>
            <w:tcW w:type="dxa" w:w="1814"/>
          </w:tcPr>
          <w:p>
            <w:r>
              <w:rPr>
                <w:rFonts w:ascii="Times New Roman" w:hAnsi="Times New Roman"/>
                <w:sz w:val="20"/>
              </w:rPr>
              <w:t>Ast berührt Dachrand</w:t>
            </w:r>
          </w:p>
        </w:tc>
        <w:tc>
          <w:tcPr>
            <w:tcW w:type="dxa" w:w="1814"/>
          </w:tcPr>
          <w:p>
            <w:r>
              <w:rPr>
                <w:rFonts w:ascii="Times New Roman" w:hAnsi="Times New Roman"/>
                <w:sz w:val="20"/>
              </w:rPr>
              <w:t>Baumschutz offen</w:t>
            </w:r>
          </w:p>
        </w:tc>
      </w:tr>
      <w:tr>
        <w:tc>
          <w:tcPr>
            <w:tcW w:type="dxa" w:w="1814"/>
          </w:tcPr>
          <w:p>
            <w:r>
              <w:rPr>
                <w:rFonts w:ascii="Times New Roman" w:hAnsi="Times New Roman"/>
                <w:sz w:val="20"/>
              </w:rPr>
              <w:t>F-101</w:t>
            </w:r>
          </w:p>
        </w:tc>
        <w:tc>
          <w:tcPr>
            <w:tcW w:type="dxa" w:w="1814"/>
          </w:tcPr>
          <w:p>
            <w:r>
              <w:rPr>
                <w:rFonts w:ascii="Times New Roman" w:hAnsi="Times New Roman"/>
                <w:sz w:val="20"/>
              </w:rPr>
              <w:t>03.11.2025</w:t>
            </w:r>
          </w:p>
        </w:tc>
        <w:tc>
          <w:tcPr>
            <w:tcW w:type="dxa" w:w="1814"/>
          </w:tcPr>
          <w:p>
            <w:r>
              <w:rPr>
                <w:rFonts w:ascii="Times New Roman" w:hAnsi="Times New Roman"/>
                <w:sz w:val="20"/>
              </w:rPr>
              <w:t>Laub in Dachrinne Wintergarten</w:t>
            </w:r>
          </w:p>
        </w:tc>
        <w:tc>
          <w:tcPr>
            <w:tcW w:type="dxa" w:w="1814"/>
          </w:tcPr>
          <w:p>
            <w:r>
              <w:rPr>
                <w:rFonts w:ascii="Times New Roman" w:hAnsi="Times New Roman"/>
                <w:sz w:val="20"/>
              </w:rPr>
              <w:t>Rinne voll</w:t>
            </w:r>
          </w:p>
        </w:tc>
        <w:tc>
          <w:tcPr>
            <w:tcW w:type="dxa" w:w="1814"/>
          </w:tcPr>
          <w:p>
            <w:r>
              <w:rPr>
                <w:rFonts w:ascii="Times New Roman" w:hAnsi="Times New Roman"/>
                <w:sz w:val="20"/>
              </w:rPr>
              <w:t>Ursache nicht allein Baum</w:t>
            </w:r>
          </w:p>
        </w:tc>
      </w:tr>
      <w:tr>
        <w:tc>
          <w:tcPr>
            <w:tcW w:type="dxa" w:w="1814"/>
          </w:tcPr>
          <w:p>
            <w:r>
              <w:rPr>
                <w:rFonts w:ascii="Times New Roman" w:hAnsi="Times New Roman"/>
                <w:sz w:val="20"/>
              </w:rPr>
              <w:t>F-119</w:t>
            </w:r>
          </w:p>
        </w:tc>
        <w:tc>
          <w:tcPr>
            <w:tcW w:type="dxa" w:w="1814"/>
          </w:tcPr>
          <w:p>
            <w:r>
              <w:rPr>
                <w:rFonts w:ascii="Times New Roman" w:hAnsi="Times New Roman"/>
                <w:sz w:val="20"/>
              </w:rPr>
              <w:t>06.04.2026</w:t>
            </w:r>
          </w:p>
        </w:tc>
        <w:tc>
          <w:tcPr>
            <w:tcW w:type="dxa" w:w="1814"/>
          </w:tcPr>
          <w:p>
            <w:r>
              <w:rPr>
                <w:rFonts w:ascii="Times New Roman" w:hAnsi="Times New Roman"/>
                <w:sz w:val="20"/>
              </w:rPr>
              <w:t>Sichtschutzzaun</w:t>
            </w:r>
          </w:p>
        </w:tc>
        <w:tc>
          <w:tcPr>
            <w:tcW w:type="dxa" w:w="1814"/>
          </w:tcPr>
          <w:p>
            <w:r>
              <w:rPr>
                <w:rFonts w:ascii="Times New Roman" w:hAnsi="Times New Roman"/>
                <w:sz w:val="20"/>
              </w:rPr>
              <w:t>WPC-Zaun 2,10 m</w:t>
            </w:r>
          </w:p>
        </w:tc>
        <w:tc>
          <w:tcPr>
            <w:tcW w:type="dxa" w:w="1814"/>
          </w:tcPr>
          <w:p>
            <w:r>
              <w:rPr>
                <w:rFonts w:ascii="Times New Roman" w:hAnsi="Times New Roman"/>
                <w:sz w:val="20"/>
              </w:rPr>
              <w:t>Ortsüblichkeit offen</w:t>
            </w:r>
          </w:p>
        </w:tc>
      </w:tr>
      <w:tr>
        <w:tc>
          <w:tcPr>
            <w:tcW w:type="dxa" w:w="1814"/>
          </w:tcPr>
          <w:p>
            <w:r>
              <w:rPr>
                <w:rFonts w:ascii="Times New Roman" w:hAnsi="Times New Roman"/>
                <w:sz w:val="20"/>
              </w:rPr>
              <w:t>F-133</w:t>
            </w:r>
          </w:p>
        </w:tc>
        <w:tc>
          <w:tcPr>
            <w:tcW w:type="dxa" w:w="1814"/>
          </w:tcPr>
          <w:p>
            <w:r>
              <w:rPr>
                <w:rFonts w:ascii="Times New Roman" w:hAnsi="Times New Roman"/>
                <w:sz w:val="20"/>
              </w:rPr>
              <w:t>21.05.2026</w:t>
            </w:r>
          </w:p>
        </w:tc>
        <w:tc>
          <w:tcPr>
            <w:tcW w:type="dxa" w:w="1814"/>
          </w:tcPr>
          <w:p>
            <w:r>
              <w:rPr>
                <w:rFonts w:ascii="Times New Roman" w:hAnsi="Times New Roman"/>
                <w:sz w:val="20"/>
              </w:rPr>
              <w:t>LED-Strahler</w:t>
            </w:r>
          </w:p>
        </w:tc>
        <w:tc>
          <w:tcPr>
            <w:tcW w:type="dxa" w:w="1814"/>
          </w:tcPr>
          <w:p>
            <w:r>
              <w:rPr>
                <w:rFonts w:ascii="Times New Roman" w:hAnsi="Times New Roman"/>
                <w:sz w:val="20"/>
              </w:rPr>
              <w:t>Lichtkegel Schlafzimmerfenster</w:t>
            </w:r>
          </w:p>
        </w:tc>
        <w:tc>
          <w:tcPr>
            <w:tcW w:type="dxa" w:w="1814"/>
          </w:tcPr>
          <w:p>
            <w:r>
              <w:rPr>
                <w:rFonts w:ascii="Times New Roman" w:hAnsi="Times New Roman"/>
                <w:sz w:val="20"/>
              </w:rPr>
              <w:t>Belichtungszeit unbekannt</w:t>
            </w:r>
          </w:p>
        </w:tc>
      </w:tr>
      <w:tr>
        <w:tc>
          <w:tcPr>
            <w:tcW w:type="dxa" w:w="1814"/>
          </w:tcPr>
          <w:p>
            <w:r>
              <w:rPr>
                <w:rFonts w:ascii="Times New Roman" w:hAnsi="Times New Roman"/>
                <w:sz w:val="20"/>
              </w:rPr>
              <w:t>F-141</w:t>
            </w:r>
          </w:p>
        </w:tc>
        <w:tc>
          <w:tcPr>
            <w:tcW w:type="dxa" w:w="1814"/>
          </w:tcPr>
          <w:p>
            <w:r>
              <w:rPr>
                <w:rFonts w:ascii="Times New Roman" w:hAnsi="Times New Roman"/>
                <w:sz w:val="20"/>
              </w:rPr>
              <w:t>25.05.2026</w:t>
            </w:r>
          </w:p>
        </w:tc>
        <w:tc>
          <w:tcPr>
            <w:tcW w:type="dxa" w:w="1814"/>
          </w:tcPr>
          <w:p>
            <w:r>
              <w:rPr>
                <w:rFonts w:ascii="Times New Roman" w:hAnsi="Times New Roman"/>
                <w:sz w:val="20"/>
              </w:rPr>
              <w:t>Kamera am Carport</w:t>
            </w:r>
          </w:p>
        </w:tc>
        <w:tc>
          <w:tcPr>
            <w:tcW w:type="dxa" w:w="1814"/>
          </w:tcPr>
          <w:p>
            <w:r>
              <w:rPr>
                <w:rFonts w:ascii="Times New Roman" w:hAnsi="Times New Roman"/>
                <w:sz w:val="20"/>
              </w:rPr>
              <w:t>Blickrichtung Richtung Albers-Weg</w:t>
            </w:r>
          </w:p>
        </w:tc>
        <w:tc>
          <w:tcPr>
            <w:tcW w:type="dxa" w:w="1814"/>
          </w:tcPr>
          <w:p>
            <w:r>
              <w:rPr>
                <w:rFonts w:ascii="Times New Roman" w:hAnsi="Times New Roman"/>
                <w:sz w:val="20"/>
              </w:rPr>
              <w:t>tatsächlicher Erfassungsbereich unklar</w:t>
            </w:r>
          </w:p>
        </w:tc>
      </w:tr>
    </w:tbl>
    <w:p>
      <w:pPr>
        <w:pStyle w:val="Heading2"/>
      </w:pPr>
      <w:r>
        <w:rPr>
          <w:rFonts w:ascii="Times New Roman" w:hAnsi="Times New Roman"/>
        </w:rPr>
        <w:t>Messungen Mandanten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Messpunkt</w:t>
            </w:r>
          </w:p>
        </w:tc>
        <w:tc>
          <w:tcPr>
            <w:tcW w:type="dxa" w:w="2268"/>
          </w:tcPr>
          <w:p>
            <w:r>
              <w:rPr>
                <w:rFonts w:ascii="Times New Roman" w:hAnsi="Times New Roman"/>
                <w:b/>
                <w:sz w:val="20"/>
              </w:rPr>
              <w:t>Ergebnis</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17.10.2024</w:t>
            </w:r>
          </w:p>
        </w:tc>
        <w:tc>
          <w:tcPr>
            <w:tcW w:type="dxa" w:w="2268"/>
          </w:tcPr>
          <w:p>
            <w:r>
              <w:rPr>
                <w:rFonts w:ascii="Times New Roman" w:hAnsi="Times New Roman"/>
                <w:sz w:val="20"/>
              </w:rPr>
              <w:t>Dachrinne bis gedachte Grenzlinie</w:t>
            </w:r>
          </w:p>
        </w:tc>
        <w:tc>
          <w:tcPr>
            <w:tcW w:type="dxa" w:w="2268"/>
          </w:tcPr>
          <w:p>
            <w:r>
              <w:rPr>
                <w:rFonts w:ascii="Times New Roman" w:hAnsi="Times New Roman"/>
                <w:sz w:val="20"/>
              </w:rPr>
              <w:t>18-24 cm</w:t>
            </w:r>
          </w:p>
        </w:tc>
        <w:tc>
          <w:tcPr>
            <w:tcW w:type="dxa" w:w="2268"/>
          </w:tcPr>
          <w:p>
            <w:r>
              <w:rPr>
                <w:rFonts w:ascii="Times New Roman" w:hAnsi="Times New Roman"/>
                <w:sz w:val="20"/>
              </w:rPr>
              <w:t>nicht gerichtsfest</w:t>
            </w:r>
          </w:p>
        </w:tc>
      </w:tr>
      <w:tr>
        <w:tc>
          <w:tcPr>
            <w:tcW w:type="dxa" w:w="2268"/>
          </w:tcPr>
          <w:p>
            <w:r>
              <w:rPr>
                <w:rFonts w:ascii="Times New Roman" w:hAnsi="Times New Roman"/>
                <w:sz w:val="20"/>
              </w:rPr>
              <w:t>21.02.2025</w:t>
            </w:r>
          </w:p>
        </w:tc>
        <w:tc>
          <w:tcPr>
            <w:tcW w:type="dxa" w:w="2268"/>
          </w:tcPr>
          <w:p>
            <w:r>
              <w:rPr>
                <w:rFonts w:ascii="Times New Roman" w:hAnsi="Times New Roman"/>
                <w:sz w:val="20"/>
              </w:rPr>
              <w:t>Rissbreite Grenzmauer</w:t>
            </w:r>
          </w:p>
        </w:tc>
        <w:tc>
          <w:tcPr>
            <w:tcW w:type="dxa" w:w="2268"/>
          </w:tcPr>
          <w:p>
            <w:r>
              <w:rPr>
                <w:rFonts w:ascii="Times New Roman" w:hAnsi="Times New Roman"/>
                <w:sz w:val="20"/>
              </w:rPr>
              <w:t>4 mm</w:t>
            </w:r>
          </w:p>
        </w:tc>
        <w:tc>
          <w:tcPr>
            <w:tcW w:type="dxa" w:w="2268"/>
          </w:tcPr>
          <w:p>
            <w:r>
              <w:rPr>
                <w:rFonts w:ascii="Times New Roman" w:hAnsi="Times New Roman"/>
                <w:sz w:val="20"/>
              </w:rPr>
              <w:t>Verlauf dokumentieren</w:t>
            </w:r>
          </w:p>
        </w:tc>
      </w:tr>
      <w:tr>
        <w:tc>
          <w:tcPr>
            <w:tcW w:type="dxa" w:w="2268"/>
          </w:tcPr>
          <w:p>
            <w:r>
              <w:rPr>
                <w:rFonts w:ascii="Times New Roman" w:hAnsi="Times New Roman"/>
                <w:sz w:val="20"/>
              </w:rPr>
              <w:t>30.03.2025</w:t>
            </w:r>
          </w:p>
        </w:tc>
        <w:tc>
          <w:tcPr>
            <w:tcW w:type="dxa" w:w="2268"/>
          </w:tcPr>
          <w:p>
            <w:r>
              <w:rPr>
                <w:rFonts w:ascii="Times New Roman" w:hAnsi="Times New Roman"/>
                <w:sz w:val="20"/>
              </w:rPr>
              <w:t>Pflasterhebung am Wintergarten</w:t>
            </w:r>
          </w:p>
        </w:tc>
        <w:tc>
          <w:tcPr>
            <w:tcW w:type="dxa" w:w="2268"/>
          </w:tcPr>
          <w:p>
            <w:r>
              <w:rPr>
                <w:rFonts w:ascii="Times New Roman" w:hAnsi="Times New Roman"/>
                <w:sz w:val="20"/>
              </w:rPr>
              <w:t>3,5 cm</w:t>
            </w:r>
          </w:p>
        </w:tc>
        <w:tc>
          <w:tcPr>
            <w:tcW w:type="dxa" w:w="2268"/>
          </w:tcPr>
          <w:p>
            <w:r>
              <w:rPr>
                <w:rFonts w:ascii="Times New Roman" w:hAnsi="Times New Roman"/>
                <w:sz w:val="20"/>
              </w:rPr>
              <w:t>Wurzelbezug wahrscheinlich, Gutachten nötig</w:t>
            </w:r>
          </w:p>
        </w:tc>
      </w:tr>
      <w:tr>
        <w:tc>
          <w:tcPr>
            <w:tcW w:type="dxa" w:w="2268"/>
          </w:tcPr>
          <w:p>
            <w:r>
              <w:rPr>
                <w:rFonts w:ascii="Times New Roman" w:hAnsi="Times New Roman"/>
                <w:sz w:val="20"/>
              </w:rPr>
              <w:t>06.04.2026</w:t>
            </w:r>
          </w:p>
        </w:tc>
        <w:tc>
          <w:tcPr>
            <w:tcW w:type="dxa" w:w="2268"/>
          </w:tcPr>
          <w:p>
            <w:r>
              <w:rPr>
                <w:rFonts w:ascii="Times New Roman" w:hAnsi="Times New Roman"/>
                <w:sz w:val="20"/>
              </w:rPr>
              <w:t>Zaunhöhe</w:t>
            </w:r>
          </w:p>
        </w:tc>
        <w:tc>
          <w:tcPr>
            <w:tcW w:type="dxa" w:w="2268"/>
          </w:tcPr>
          <w:p>
            <w:r>
              <w:rPr>
                <w:rFonts w:ascii="Times New Roman" w:hAnsi="Times New Roman"/>
                <w:sz w:val="20"/>
              </w:rPr>
              <w:t>2,10 m</w:t>
            </w:r>
          </w:p>
        </w:tc>
        <w:tc>
          <w:tcPr>
            <w:tcW w:type="dxa" w:w="2268"/>
          </w:tcPr>
          <w:p>
            <w:r>
              <w:rPr>
                <w:rFonts w:ascii="Times New Roman" w:hAnsi="Times New Roman"/>
                <w:sz w:val="20"/>
              </w:rPr>
              <w:t>Landesrecht/Gemeinde prüfen</w:t>
            </w:r>
          </w:p>
        </w:tc>
      </w:tr>
      <w:tr>
        <w:tc>
          <w:tcPr>
            <w:tcW w:type="dxa" w:w="2268"/>
          </w:tcPr>
          <w:p>
            <w:r>
              <w:rPr>
                <w:rFonts w:ascii="Times New Roman" w:hAnsi="Times New Roman"/>
                <w:sz w:val="20"/>
              </w:rPr>
              <w:t>21.05.2026</w:t>
            </w:r>
          </w:p>
        </w:tc>
        <w:tc>
          <w:tcPr>
            <w:tcW w:type="dxa" w:w="2268"/>
          </w:tcPr>
          <w:p>
            <w:r>
              <w:rPr>
                <w:rFonts w:ascii="Times New Roman" w:hAnsi="Times New Roman"/>
                <w:sz w:val="20"/>
              </w:rPr>
              <w:t>Lichtstrahler Abstand Fenster</w:t>
            </w:r>
          </w:p>
        </w:tc>
        <w:tc>
          <w:tcPr>
            <w:tcW w:type="dxa" w:w="2268"/>
          </w:tcPr>
          <w:p>
            <w:r>
              <w:rPr>
                <w:rFonts w:ascii="Times New Roman" w:hAnsi="Times New Roman"/>
                <w:sz w:val="20"/>
              </w:rPr>
              <w:t>ca. 7 m</w:t>
            </w:r>
          </w:p>
        </w:tc>
        <w:tc>
          <w:tcPr>
            <w:tcW w:type="dxa" w:w="2268"/>
          </w:tcPr>
          <w:p>
            <w:r>
              <w:rPr>
                <w:rFonts w:ascii="Times New Roman" w:hAnsi="Times New Roman"/>
                <w:sz w:val="20"/>
              </w:rPr>
              <w:t>Immissionsprüfung</w:t>
            </w:r>
          </w:p>
        </w:tc>
      </w:tr>
    </w:tbl>
    <w:p>
      <w:pPr>
        <w:pStyle w:val="Heading2"/>
      </w:pPr>
      <w:r>
        <w:rPr>
          <w:rFonts w:ascii="Times New Roman" w:hAnsi="Times New Roman"/>
        </w:rPr>
        <w:t>Beweisproblem</w:t>
      </w:r>
    </w:p>
    <w:p>
      <w:pPr>
        <w:jc w:val="left"/>
      </w:pPr>
      <w:r>
        <w:t>Die Fotos zeigen viel, aber nicht immer das Richtige. Für Carport und Grenze ist eine Vermessung wichtiger als weitere Handyfotos. Für Risse braucht es Verlaufskontrolle. Für Licht und Rauch braucht es Protokolle statt einzelner Ärgerbilder.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