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Eilrechtsschutz und Beweissicherung</w:t>
      </w:r>
    </w:p>
    <w:p>
      <w:pPr>
        <w:jc w:val="left"/>
      </w:pPr>
      <w:r>
        <w:t>Bearbeitung: Kanzlei Welling</w:t>
      </w:r>
    </w:p>
    <w:p>
      <w:pPr>
        <w:jc w:val="left"/>
      </w:pPr>
      <w:r>
        <w:t>Stand: 29.05.2026</w:t>
      </w:r>
    </w:p>
    <w:p>
      <w:pPr>
        <w:pStyle w:val="Heading2"/>
      </w:pPr>
      <w:r>
        <w:rPr>
          <w:rFonts w:ascii="Times New Roman" w:hAnsi="Times New Roman"/>
        </w:rPr>
        <w:t>1. Eilpunkte</w:t>
      </w:r>
    </w:p>
    <w:p>
      <w:pPr>
        <w:pStyle w:val="Heading3"/>
      </w:pPr>
      <w:r>
        <w:rPr>
          <w:rFonts w:ascii="Times New Roman" w:hAnsi="Times New Roman"/>
        </w:rPr>
        <w:t>Baugrube und Grenzmauer</w:t>
      </w:r>
    </w:p>
    <w:p>
      <w:pPr>
        <w:jc w:val="left"/>
      </w:pPr>
      <w:r>
        <w:t>Die Risse an der Grenzmauer und die offene Frage der Bodenstütze sind der stärkste Eilpunkt. Wenn sich die Mauer weiter setzt oder Arbeiten fortgesetzt werden, kann der Zustand später schwer beweisbar sein. Denkbar:</w:t>
      </w:r>
    </w:p>
    <w:p>
      <w:pPr>
        <w:pStyle w:val="ListBullet"/>
      </w:pPr>
      <w:r>
        <w:t>Sachverständiger kurzfristig.</w:t>
      </w:r>
    </w:p>
    <w:p>
      <w:pPr>
        <w:pStyle w:val="ListBullet"/>
      </w:pPr>
      <w:r>
        <w:t>Rissmonitoring.</w:t>
      </w:r>
    </w:p>
    <w:p>
      <w:pPr>
        <w:pStyle w:val="ListBullet"/>
      </w:pPr>
      <w:r>
        <w:t>Aufforderung zur Sicherung.</w:t>
      </w:r>
    </w:p>
    <w:p>
      <w:pPr>
        <w:pStyle w:val="ListBullet"/>
      </w:pPr>
      <w:r>
        <w:t>Bauaufsicht bei Gefahr.</w:t>
      </w:r>
    </w:p>
    <w:p>
      <w:pPr>
        <w:pStyle w:val="ListBullet"/>
      </w:pPr>
      <w:r>
        <w:t>Einstweilige Verfügung, wenn konkrete weitere Arbeiten oder Gefahr belegt werden.</w:t>
      </w:r>
    </w:p>
    <w:p>
      <w:pPr>
        <w:pStyle w:val="Heading3"/>
      </w:pPr>
      <w:r>
        <w:rPr>
          <w:rFonts w:ascii="Times New Roman" w:hAnsi="Times New Roman"/>
        </w:rPr>
        <w:t>Zugangsforderung 03./04.06.2026</w:t>
      </w:r>
    </w:p>
    <w:p>
      <w:pPr>
        <w:jc w:val="left"/>
      </w:pPr>
      <w:r>
        <w:t>Kesslers verlangen pauschalen Zugang. Ohne konkrete Arbeiten, Dauer, Flächen, Versicherung und Erforderlichkeit keine Zustimmung. Eilrechtsschutz ist eher Abwehr einer Besitzstörung, falls Zugang eigenmächtig erfolgt.</w:t>
      </w:r>
    </w:p>
    <w:p>
      <w:pPr>
        <w:pStyle w:val="Heading3"/>
      </w:pPr>
      <w:r>
        <w:rPr>
          <w:rFonts w:ascii="Times New Roman" w:hAnsi="Times New Roman"/>
        </w:rPr>
        <w:t>Baum/Rückschnitt</w:t>
      </w:r>
    </w:p>
    <w:p>
      <w:pPr>
        <w:jc w:val="left"/>
      </w:pPr>
      <w:r>
        <w:t>Kein sofortiger Selbsthilferückschnitt ohne Fristsetzung und Prüfung Baumschutz. Eilrechtsschutz nur, wenn konkrete Gefahr durch Astbruch oder akute Schäden belegbar.</w:t>
      </w:r>
    </w:p>
    <w:p>
      <w:pPr>
        <w:pStyle w:val="Heading2"/>
      </w:pPr>
      <w:r>
        <w:rPr>
          <w:rFonts w:ascii="Times New Roman" w:hAnsi="Times New Roman"/>
        </w:rPr>
        <w:t>2. Beweissicherungsbedarf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Maßnahme</w:t>
            </w:r>
          </w:p>
        </w:tc>
      </w:tr>
      <w:tr>
        <w:tc>
          <w:tcPr>
            <w:tcW w:type="dxa" w:w="4536"/>
          </w:tcPr>
          <w:p>
            <w:r>
              <w:rPr>
                <w:rFonts w:ascii="Times New Roman" w:hAnsi="Times New Roman"/>
                <w:sz w:val="20"/>
              </w:rPr>
              <w:t>Grenze/Carport</w:t>
            </w:r>
          </w:p>
        </w:tc>
        <w:tc>
          <w:tcPr>
            <w:tcW w:type="dxa" w:w="4536"/>
          </w:tcPr>
          <w:p>
            <w:r>
              <w:rPr>
                <w:rFonts w:ascii="Times New Roman" w:hAnsi="Times New Roman"/>
                <w:sz w:val="20"/>
              </w:rPr>
              <w:t>ÖbVI-Grenzanzeige, Bauakte, Fotoplan</w:t>
            </w:r>
          </w:p>
        </w:tc>
      </w:tr>
      <w:tr>
        <w:tc>
          <w:tcPr>
            <w:tcW w:type="dxa" w:w="4536"/>
          </w:tcPr>
          <w:p>
            <w:r>
              <w:rPr>
                <w:rFonts w:ascii="Times New Roman" w:hAnsi="Times New Roman"/>
                <w:sz w:val="20"/>
              </w:rPr>
              <w:t>Baugrube/Mauer</w:t>
            </w:r>
          </w:p>
        </w:tc>
        <w:tc>
          <w:tcPr>
            <w:tcW w:type="dxa" w:w="4536"/>
          </w:tcPr>
          <w:p>
            <w:r>
              <w:rPr>
                <w:rFonts w:ascii="Times New Roman" w:hAnsi="Times New Roman"/>
                <w:sz w:val="20"/>
              </w:rPr>
              <w:t>Bauingenieur, Rissmarken, tägliche Fotos für 14 Tage</w:t>
            </w:r>
          </w:p>
        </w:tc>
      </w:tr>
      <w:tr>
        <w:tc>
          <w:tcPr>
            <w:tcW w:type="dxa" w:w="4536"/>
          </w:tcPr>
          <w:p>
            <w:r>
              <w:rPr>
                <w:rFonts w:ascii="Times New Roman" w:hAnsi="Times New Roman"/>
                <w:sz w:val="20"/>
              </w:rPr>
              <w:t>Wurzeln</w:t>
            </w:r>
          </w:p>
        </w:tc>
        <w:tc>
          <w:tcPr>
            <w:tcW w:type="dxa" w:w="4536"/>
          </w:tcPr>
          <w:p>
            <w:r>
              <w:rPr>
                <w:rFonts w:ascii="Times New Roman" w:hAnsi="Times New Roman"/>
                <w:sz w:val="20"/>
              </w:rPr>
              <w:t>Pflasteröffnung in kleinen Suchschlitzen, Fotodokumentation</w:t>
            </w:r>
          </w:p>
        </w:tc>
      </w:tr>
      <w:tr>
        <w:tc>
          <w:tcPr>
            <w:tcW w:type="dxa" w:w="4536"/>
          </w:tcPr>
          <w:p>
            <w:r>
              <w:rPr>
                <w:rFonts w:ascii="Times New Roman" w:hAnsi="Times New Roman"/>
                <w:sz w:val="20"/>
              </w:rPr>
              <w:t>Licht</w:t>
            </w:r>
          </w:p>
        </w:tc>
        <w:tc>
          <w:tcPr>
            <w:tcW w:type="dxa" w:w="4536"/>
          </w:tcPr>
          <w:p>
            <w:r>
              <w:rPr>
                <w:rFonts w:ascii="Times New Roman" w:hAnsi="Times New Roman"/>
                <w:sz w:val="20"/>
              </w:rPr>
              <w:t>Nachtfotos mit festen Kameraeinstellungen, Protokoll</w:t>
            </w:r>
          </w:p>
        </w:tc>
      </w:tr>
      <w:tr>
        <w:tc>
          <w:tcPr>
            <w:tcW w:type="dxa" w:w="4536"/>
          </w:tcPr>
          <w:p>
            <w:r>
              <w:rPr>
                <w:rFonts w:ascii="Times New Roman" w:hAnsi="Times New Roman"/>
                <w:sz w:val="20"/>
              </w:rPr>
              <w:t>Rauch</w:t>
            </w:r>
          </w:p>
        </w:tc>
        <w:tc>
          <w:tcPr>
            <w:tcW w:type="dxa" w:w="4536"/>
          </w:tcPr>
          <w:p>
            <w:r>
              <w:rPr>
                <w:rFonts w:ascii="Times New Roman" w:hAnsi="Times New Roman"/>
                <w:sz w:val="20"/>
              </w:rPr>
              <w:t>Wochenendprotokoll, Windrichtung, Zeugen</w:t>
            </w:r>
          </w:p>
        </w:tc>
      </w:tr>
      <w:tr>
        <w:tc>
          <w:tcPr>
            <w:tcW w:type="dxa" w:w="4536"/>
          </w:tcPr>
          <w:p>
            <w:r>
              <w:rPr>
                <w:rFonts w:ascii="Times New Roman" w:hAnsi="Times New Roman"/>
                <w:sz w:val="20"/>
              </w:rPr>
              <w:t>Kamera</w:t>
            </w:r>
          </w:p>
        </w:tc>
        <w:tc>
          <w:tcPr>
            <w:tcW w:type="dxa" w:w="4536"/>
          </w:tcPr>
          <w:p>
            <w:r>
              <w:rPr>
                <w:rFonts w:ascii="Times New Roman" w:hAnsi="Times New Roman"/>
                <w:sz w:val="20"/>
              </w:rPr>
              <w:t>Blickwinkel dokumentieren, Datenschutz separat prüfen</w:t>
            </w:r>
          </w:p>
        </w:tc>
      </w:tr>
    </w:tbl>
    <w:p>
      <w:pPr>
        <w:pStyle w:val="Heading2"/>
      </w:pPr>
      <w:r>
        <w:rPr>
          <w:rFonts w:ascii="Times New Roman" w:hAnsi="Times New Roman"/>
        </w:rPr>
        <w:t>3. Prozessstrategie</w:t>
      </w:r>
    </w:p>
    <w:p>
      <w:pPr>
        <w:jc w:val="left"/>
      </w:pPr>
      <w:r>
        <w:t>Nicht alles gleichzeitig einklagen. Priorität:</w:t>
      </w:r>
    </w:p>
    <w:p>
      <w:pPr>
        <w:pStyle w:val="ListNumber"/>
      </w:pPr>
      <w:r>
        <w:t>Sicherung Grenzmauer/Baugrube.</w:t>
      </w:r>
    </w:p>
    <w:p>
      <w:pPr>
        <w:pStyle w:val="ListNumber"/>
      </w:pPr>
      <w:r>
        <w:t>Grenzvermessung und Carport.</w:t>
      </w:r>
    </w:p>
    <w:p>
      <w:pPr>
        <w:pStyle w:val="ListNumber"/>
      </w:pPr>
      <w:r>
        <w:t>Baum/Überhang mit sauberer Fristsetzung.</w:t>
      </w:r>
    </w:p>
    <w:p>
      <w:pPr>
        <w:pStyle w:val="ListNumber"/>
      </w:pPr>
      <w:r>
        <w:t>Zaun/Licht/Kamera als Nebenstränge oder Vergleichspaket.</w:t>
      </w:r>
    </w:p>
    <w:p>
      <w:pPr>
        <w:pStyle w:val="Heading2"/>
      </w:pPr>
      <w:r>
        <w:rPr>
          <w:rFonts w:ascii="Times New Roman" w:hAnsi="Times New Roman"/>
        </w:rPr>
        <w:t>4. Vergleichsdruck</w:t>
      </w:r>
    </w:p>
    <w:p>
      <w:pPr>
        <w:jc w:val="left"/>
      </w:pPr>
      <w:r>
        <w:t>Ein gemeinsamer Ortstermin kann der sinnvollste Hebel sein. Die Gegenseite muss aber wissen, dass bei weiterer Baugrubenarbeit ohne Sicherung Eilrechtsschutz vorbereitet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