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Vergleichsentwurf Rosengartenfrieden</w:t>
      </w:r>
    </w:p>
    <w:p>
      <w:pPr>
        <w:jc w:val="left"/>
      </w:pPr>
      <w:r>
        <w:t>Zwischen Marianne und Dr. Henning Albers, Rosengartenstraße 17, und Stefan und Lara Kessler, Rosengartenstraße 19, wird zur Befriedung der nachbarrechtlichen Streitigkeiten folgender Vergleich geschlossen.</w:t>
      </w:r>
    </w:p>
    <w:p>
      <w:pPr>
        <w:pStyle w:val="Heading2"/>
      </w:pPr>
      <w:r>
        <w:rPr>
          <w:rFonts w:ascii="Times New Roman" w:hAnsi="Times New Roman"/>
        </w:rPr>
        <w:t>1. Ortstermin und Grenze</w:t>
      </w:r>
    </w:p>
    <w:p>
      <w:pPr>
        <w:jc w:val="left"/>
      </w:pPr>
      <w:r>
        <w:t>Die Parteien beauftragen gemeinsam einen öffentlich bestellten Vermessungsingenieur mit einer Grenzanzeige im Bereich Carport, Grenzmauer und Gartenweg. Die Kosten tragen die Parteien zunächst je zur Hälfte. Ergibt die Grenzanzeige eine Grenzüberschreitung von mehr als 5 cm durch Bauteile des Carports, verhandeln die Parteien binnen 14 Tagen über Rückbau, Anpassung oder Entschädigung.</w:t>
      </w:r>
    </w:p>
    <w:p>
      <w:pPr>
        <w:pStyle w:val="Heading2"/>
      </w:pPr>
      <w:r>
        <w:rPr>
          <w:rFonts w:ascii="Times New Roman" w:hAnsi="Times New Roman"/>
        </w:rPr>
        <w:t>2. Carport und Entwässerung</w:t>
      </w:r>
    </w:p>
    <w:p>
      <w:pPr>
        <w:jc w:val="left"/>
      </w:pPr>
      <w:r>
        <w:t>Kesslers legen binnen zehn Tagen die vorhandenen Unterlagen zum Carport vor. Die Dachentwässerung wird so angepasst, dass Niederschlagswasser nicht auf das Grundstück Albers abgeleitet wird. Die Arbeiten erfolgen bis spätestens 30.06.2026.</w:t>
      </w:r>
    </w:p>
    <w:p>
      <w:pPr>
        <w:pStyle w:val="Heading2"/>
      </w:pPr>
      <w:r>
        <w:rPr>
          <w:rFonts w:ascii="Times New Roman" w:hAnsi="Times New Roman"/>
        </w:rPr>
        <w:t>3. Grenzmauer und Poolgrube</w:t>
      </w:r>
    </w:p>
    <w:p>
      <w:pPr>
        <w:jc w:val="left"/>
      </w:pPr>
      <w:r>
        <w:t>Kesslers lassen die Baugrube bis zur fachlichen Klärung gegen Abrutschen sichern. Die Parteien beauftragen gemeinsam einen Bauingenieur zur Einschätzung der Risse und der Standsicherheit. Bis zur Vorlage der Einschätzung werden keine weiteren Aushubarbeiten im Abstand von 1,50 m zur Grenze vorgenommen.</w:t>
      </w:r>
    </w:p>
    <w:p>
      <w:pPr>
        <w:pStyle w:val="Heading2"/>
      </w:pPr>
      <w:r>
        <w:rPr>
          <w:rFonts w:ascii="Times New Roman" w:hAnsi="Times New Roman"/>
        </w:rPr>
        <w:t>4. Platane</w:t>
      </w:r>
    </w:p>
    <w:p>
      <w:pPr>
        <w:jc w:val="left"/>
      </w:pPr>
      <w:r>
        <w:t>Die Parteien lassen durch einen Baumsachverständigen einen Rückschnittplan erstellen. Kesslers beantragen, soweit erforderlich, die Genehmigung nach Baumschutzsatzung. Der Rückschnitt erfolgt fachgerecht und nur in zulässiger Zeit. Albers verzichten bis dahin auf eigenmächtigen Rückschnitt, außer bei akuter Gefahr.</w:t>
      </w:r>
    </w:p>
    <w:p>
      <w:pPr>
        <w:pStyle w:val="Heading2"/>
      </w:pPr>
      <w:r>
        <w:rPr>
          <w:rFonts w:ascii="Times New Roman" w:hAnsi="Times New Roman"/>
        </w:rPr>
        <w:t>5. Sichtschutz, Licht und Kamera</w:t>
      </w:r>
    </w:p>
    <w:p>
      <w:pPr>
        <w:jc w:val="left"/>
      </w:pPr>
      <w:r>
        <w:t>Der Sichtschutzzaun bleibt vorläufig stehen. Die Parteien prüfen nach der Grenzanzeige und nach Klärung der Ortsüblichkeit eine Reduzierung auf 1,80 m oder eine Versetzung. Kesslers richten den LED-Strahler so aus, dass kein direktes Licht in Schlaf- oder Wohnräume der Albers fällt. Die Kamera wird so eingestellt, dass der Gartenweg der Albers nicht erfasst wird.</w:t>
      </w:r>
    </w:p>
    <w:p>
      <w:pPr>
        <w:pStyle w:val="Heading2"/>
      </w:pPr>
      <w:r>
        <w:rPr>
          <w:rFonts w:ascii="Times New Roman" w:hAnsi="Times New Roman"/>
        </w:rPr>
        <w:t>6. Zugang für Arbeiten</w:t>
      </w:r>
    </w:p>
    <w:p>
      <w:pPr>
        <w:jc w:val="left"/>
      </w:pPr>
      <w:r>
        <w:t>Ein Betreten des Grundstücks Albers erfolgt nur nach vorheriger schriftlicher Ankündigung mit Angabe von Datum, Uhrzeit, Arbeiten, Personen, Geräten und benötigter Fläche. Albers dürfen die Zustimmung nur aus sachlichem Grund verweigern. Schäden sind unverzüglich zu beseitigen oder zu ersetzen.</w:t>
      </w:r>
    </w:p>
    <w:p>
      <w:pPr>
        <w:pStyle w:val="Heading2"/>
      </w:pPr>
      <w:r>
        <w:rPr>
          <w:rFonts w:ascii="Times New Roman" w:hAnsi="Times New Roman"/>
        </w:rPr>
        <w:t>7. Kommunikation</w:t>
      </w:r>
    </w:p>
    <w:p>
      <w:pPr>
        <w:jc w:val="left"/>
      </w:pPr>
      <w:r>
        <w:t>Die Parteien kommunizieren zu Grundstücksfragen künftig per E-Mail. Messenger-Nachrichten werden nur für kurzfristige Terminabstimmungen genutzt. Beleidigungen, Drohungen und Fotos von Personen ohne Anlass unterbleiben.</w:t>
      </w:r>
    </w:p>
    <w:p>
      <w:pPr>
        <w:pStyle w:val="Heading2"/>
      </w:pPr>
      <w:r>
        <w:rPr>
          <w:rFonts w:ascii="Times New Roman" w:hAnsi="Times New Roman"/>
        </w:rPr>
        <w:t>8. Erledigung</w:t>
      </w:r>
    </w:p>
    <w:p>
      <w:pPr>
        <w:jc w:val="left"/>
      </w:pPr>
      <w:r>
        <w:t>Mit vollständiger Umsetzung dieses Vergleichs betrachten die Parteien die bis zum 29.05.2026 bekannten Streitpunkte als erledigt, soweit keine verdeckten Schäden auftreten.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