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Vorgang: Notwegbehauptung, Hammerschlagsrecht und Handwerkertermin</w:t>
      </w:r>
    </w:p>
    <w:p>
      <w:pPr>
        <w:jc w:val="left"/>
      </w:pPr>
      <w:r>
        <w:rPr>
          <w:b/>
        </w:rPr>
        <w:t>Datum der Kanzleinotiz:</w:t>
      </w:r>
      <w:r>
        <w:t xml:space="preserve"> 09.09.2025</w:t>
      </w:r>
    </w:p>
    <w:p>
      <w:pPr>
        <w:jc w:val="left"/>
      </w:pPr>
      <w:r>
        <w:rPr>
          <w:b/>
        </w:rPr>
        <w:t>Auslöser:</w:t>
      </w:r>
      <w:r>
        <w:t xml:space="preserve"> E-Mail Kessler vom 06.09.2025, Telefonat mit Architekt Brettner am 08.09.2025</w:t>
      </w:r>
    </w:p>
    <w:p>
      <w:pPr>
        <w:pStyle w:val="Heading2"/>
      </w:pPr>
      <w:r>
        <w:rPr>
          <w:rFonts w:ascii="Times New Roman" w:hAnsi="Times New Roman"/>
        </w:rPr>
        <w:t>Neuer Konflikt</w:t>
      </w:r>
    </w:p>
    <w:p>
      <w:pPr>
        <w:jc w:val="left"/>
      </w:pPr>
      <w:r>
        <w:t>Herr Kessler verlangt, dass am 16.09.2025 zwei Handwerker und ein Minibagger durch den Garten der Albers fahren dürfen. Begründung: Die Zufahrt über sein eigenes Grundstück sei wegen der Poolbaugrube "praktisch blockiert"; außerdem müsse die Grenzseite des Carports nachgebessert werden, was nur vom Grundstück Albers aus "vernünftig" gehe.</w:t>
      </w:r>
    </w:p>
    <w:p>
      <w:pPr>
        <w:jc w:val="left"/>
      </w:pPr>
      <w:r>
        <w:t>Die Mandanten wollen niemanden auf ihr Grundstück lassen, weil sie befürchten, dass dadurch Spuren an der Grenzmauer verändert werden. Gleichzeitig möchten sie nicht den Eindruck erwecken, notwendige Sicherungsarbeiten mutwillig zu behindern.</w:t>
      </w:r>
    </w:p>
    <w:p>
      <w:pPr>
        <w:pStyle w:val="Heading2"/>
      </w:pPr>
      <w:r>
        <w:rPr>
          <w:rFonts w:ascii="Times New Roman" w:hAnsi="Times New Roman"/>
        </w:rPr>
        <w:t>Aktenstand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Darstellung Kessler</w:t>
            </w:r>
          </w:p>
        </w:tc>
        <w:tc>
          <w:tcPr>
            <w:tcW w:type="dxa" w:w="2268"/>
          </w:tcPr>
          <w:p>
            <w:r>
              <w:rPr>
                <w:rFonts w:ascii="Times New Roman" w:hAnsi="Times New Roman"/>
                <w:b/>
                <w:sz w:val="20"/>
              </w:rPr>
              <w:t>Darstellung Albers</w:t>
            </w:r>
          </w:p>
        </w:tc>
        <w:tc>
          <w:tcPr>
            <w:tcW w:type="dxa" w:w="2268"/>
          </w:tcPr>
          <w:p>
            <w:r>
              <w:rPr>
                <w:rFonts w:ascii="Times New Roman" w:hAnsi="Times New Roman"/>
                <w:b/>
                <w:sz w:val="20"/>
              </w:rPr>
              <w:t>Offene Prüfung</w:t>
            </w:r>
          </w:p>
        </w:tc>
      </w:tr>
      <w:tr>
        <w:tc>
          <w:tcPr>
            <w:tcW w:type="dxa" w:w="2268"/>
          </w:tcPr>
          <w:p>
            <w:r>
              <w:rPr>
                <w:rFonts w:ascii="Times New Roman" w:hAnsi="Times New Roman"/>
                <w:sz w:val="20"/>
              </w:rPr>
              <w:t>Zugang zur Rückseite Carport</w:t>
            </w:r>
          </w:p>
        </w:tc>
        <w:tc>
          <w:tcPr>
            <w:tcW w:type="dxa" w:w="2268"/>
          </w:tcPr>
          <w:p>
            <w:r>
              <w:rPr>
                <w:rFonts w:ascii="Times New Roman" w:hAnsi="Times New Roman"/>
                <w:sz w:val="20"/>
              </w:rPr>
              <w:t>nur durch Albers-Garten möglich</w:t>
            </w:r>
          </w:p>
        </w:tc>
        <w:tc>
          <w:tcPr>
            <w:tcW w:type="dxa" w:w="2268"/>
          </w:tcPr>
          <w:p>
            <w:r>
              <w:rPr>
                <w:rFonts w:ascii="Times New Roman" w:hAnsi="Times New Roman"/>
                <w:sz w:val="20"/>
              </w:rPr>
              <w:t>über Kessler-Garten eng, aber möglich</w:t>
            </w:r>
          </w:p>
        </w:tc>
        <w:tc>
          <w:tcPr>
            <w:tcW w:type="dxa" w:w="2268"/>
          </w:tcPr>
          <w:p>
            <w:r>
              <w:rPr>
                <w:rFonts w:ascii="Times New Roman" w:hAnsi="Times New Roman"/>
                <w:sz w:val="20"/>
              </w:rPr>
              <w:t>Fotos, Lageplan, Ortstermin</w:t>
            </w:r>
          </w:p>
        </w:tc>
      </w:tr>
      <w:tr>
        <w:tc>
          <w:tcPr>
            <w:tcW w:type="dxa" w:w="2268"/>
          </w:tcPr>
          <w:p>
            <w:r>
              <w:rPr>
                <w:rFonts w:ascii="Times New Roman" w:hAnsi="Times New Roman"/>
                <w:sz w:val="20"/>
              </w:rPr>
              <w:t>Minibagger</w:t>
            </w:r>
          </w:p>
        </w:tc>
        <w:tc>
          <w:tcPr>
            <w:tcW w:type="dxa" w:w="2268"/>
          </w:tcPr>
          <w:p>
            <w:r>
              <w:rPr>
                <w:rFonts w:ascii="Times New Roman" w:hAnsi="Times New Roman"/>
                <w:sz w:val="20"/>
              </w:rPr>
              <w:t>erforderlich für Fundamentkorrektur</w:t>
            </w:r>
          </w:p>
        </w:tc>
        <w:tc>
          <w:tcPr>
            <w:tcW w:type="dxa" w:w="2268"/>
          </w:tcPr>
          <w:p>
            <w:r>
              <w:rPr>
                <w:rFonts w:ascii="Times New Roman" w:hAnsi="Times New Roman"/>
                <w:sz w:val="20"/>
              </w:rPr>
              <w:t>unverhältnismäßig, Gartenweg nicht tragfähig</w:t>
            </w:r>
          </w:p>
        </w:tc>
        <w:tc>
          <w:tcPr>
            <w:tcW w:type="dxa" w:w="2268"/>
          </w:tcPr>
          <w:p>
            <w:r>
              <w:rPr>
                <w:rFonts w:ascii="Times New Roman" w:hAnsi="Times New Roman"/>
                <w:sz w:val="20"/>
              </w:rPr>
              <w:t>technischer Nachweis fehlt</w:t>
            </w:r>
          </w:p>
        </w:tc>
      </w:tr>
      <w:tr>
        <w:tc>
          <w:tcPr>
            <w:tcW w:type="dxa" w:w="2268"/>
          </w:tcPr>
          <w:p>
            <w:r>
              <w:rPr>
                <w:rFonts w:ascii="Times New Roman" w:hAnsi="Times New Roman"/>
                <w:sz w:val="20"/>
              </w:rPr>
              <w:t>Grenzmauer</w:t>
            </w:r>
          </w:p>
        </w:tc>
        <w:tc>
          <w:tcPr>
            <w:tcW w:type="dxa" w:w="2268"/>
          </w:tcPr>
          <w:p>
            <w:r>
              <w:rPr>
                <w:rFonts w:ascii="Times New Roman" w:hAnsi="Times New Roman"/>
                <w:sz w:val="20"/>
              </w:rPr>
              <w:t>keine Berührung geplant</w:t>
            </w:r>
          </w:p>
        </w:tc>
        <w:tc>
          <w:tcPr>
            <w:tcW w:type="dxa" w:w="2268"/>
          </w:tcPr>
          <w:p>
            <w:r>
              <w:rPr>
                <w:rFonts w:ascii="Times New Roman" w:hAnsi="Times New Roman"/>
                <w:sz w:val="20"/>
              </w:rPr>
              <w:t>Gefahr weiterer Risse</w:t>
            </w:r>
          </w:p>
        </w:tc>
        <w:tc>
          <w:tcPr>
            <w:tcW w:type="dxa" w:w="2268"/>
          </w:tcPr>
          <w:p>
            <w:r>
              <w:rPr>
                <w:rFonts w:ascii="Times New Roman" w:hAnsi="Times New Roman"/>
                <w:sz w:val="20"/>
              </w:rPr>
              <w:t>Beweissicherung vorher</w:t>
            </w:r>
          </w:p>
        </w:tc>
      </w:tr>
      <w:tr>
        <w:tc>
          <w:tcPr>
            <w:tcW w:type="dxa" w:w="2268"/>
          </w:tcPr>
          <w:p>
            <w:r>
              <w:rPr>
                <w:rFonts w:ascii="Times New Roman" w:hAnsi="Times New Roman"/>
                <w:sz w:val="20"/>
              </w:rPr>
              <w:t>Termin</w:t>
            </w:r>
          </w:p>
        </w:tc>
        <w:tc>
          <w:tcPr>
            <w:tcW w:type="dxa" w:w="2268"/>
          </w:tcPr>
          <w:p>
            <w:r>
              <w:rPr>
                <w:rFonts w:ascii="Times New Roman" w:hAnsi="Times New Roman"/>
                <w:sz w:val="20"/>
              </w:rPr>
              <w:t>16.09.2025, 7:30 Uhr</w:t>
            </w:r>
          </w:p>
        </w:tc>
        <w:tc>
          <w:tcPr>
            <w:tcW w:type="dxa" w:w="2268"/>
          </w:tcPr>
          <w:p>
            <w:r>
              <w:rPr>
                <w:rFonts w:ascii="Times New Roman" w:hAnsi="Times New Roman"/>
                <w:sz w:val="20"/>
              </w:rPr>
              <w:t>zu kurzfristig</w:t>
            </w:r>
          </w:p>
        </w:tc>
        <w:tc>
          <w:tcPr>
            <w:tcW w:type="dxa" w:w="2268"/>
          </w:tcPr>
          <w:p>
            <w:r>
              <w:rPr>
                <w:rFonts w:ascii="Times New Roman" w:hAnsi="Times New Roman"/>
                <w:sz w:val="20"/>
              </w:rPr>
              <w:t>Ankündigungsfrist, Abstimmung</w:t>
            </w:r>
          </w:p>
        </w:tc>
      </w:tr>
      <w:tr>
        <w:tc>
          <w:tcPr>
            <w:tcW w:type="dxa" w:w="2268"/>
          </w:tcPr>
          <w:p>
            <w:r>
              <w:rPr>
                <w:rFonts w:ascii="Times New Roman" w:hAnsi="Times New Roman"/>
                <w:sz w:val="20"/>
              </w:rPr>
              <w:t>Kosten</w:t>
            </w:r>
          </w:p>
        </w:tc>
        <w:tc>
          <w:tcPr>
            <w:tcW w:type="dxa" w:w="2268"/>
          </w:tcPr>
          <w:p>
            <w:r>
              <w:rPr>
                <w:rFonts w:ascii="Times New Roman" w:hAnsi="Times New Roman"/>
                <w:sz w:val="20"/>
              </w:rPr>
              <w:t>Kessler trägt Handwerker</w:t>
            </w:r>
          </w:p>
        </w:tc>
        <w:tc>
          <w:tcPr>
            <w:tcW w:type="dxa" w:w="2268"/>
          </w:tcPr>
          <w:p>
            <w:r>
              <w:rPr>
                <w:rFonts w:ascii="Times New Roman" w:hAnsi="Times New Roman"/>
                <w:sz w:val="20"/>
              </w:rPr>
              <w:t>Schäden am Garten ungeklärt</w:t>
            </w:r>
          </w:p>
        </w:tc>
        <w:tc>
          <w:tcPr>
            <w:tcW w:type="dxa" w:w="2268"/>
          </w:tcPr>
          <w:p>
            <w:r>
              <w:rPr>
                <w:rFonts w:ascii="Times New Roman" w:hAnsi="Times New Roman"/>
                <w:sz w:val="20"/>
              </w:rPr>
              <w:t>Sicherheitsleistung?</w:t>
            </w:r>
          </w:p>
        </w:tc>
      </w:tr>
    </w:tbl>
    <w:p>
      <w:pPr>
        <w:pStyle w:val="Heading2"/>
      </w:pPr>
      <w:r>
        <w:rPr>
          <w:rFonts w:ascii="Times New Roman" w:hAnsi="Times New Roman"/>
        </w:rPr>
        <w:t>Widersprüche</w:t>
      </w:r>
    </w:p>
    <w:p>
      <w:pPr>
        <w:pStyle w:val="ListBullet"/>
      </w:pPr>
      <w:r>
        <w:t>In der E-Mail vom 06.09.2025 schreibt Kessler, es gehe nur um "zwei Mann mit Leiter".</w:t>
      </w:r>
    </w:p>
    <w:p>
      <w:pPr>
        <w:pStyle w:val="ListBullet"/>
      </w:pPr>
      <w:r>
        <w:t>Im Telefonat mit Architekt Brettner fällt erstmals der Minibagger.</w:t>
      </w:r>
    </w:p>
    <w:p>
      <w:pPr>
        <w:pStyle w:val="ListBullet"/>
      </w:pPr>
      <w:r>
        <w:t>Der Bauunternehmer Lenzner behauptet, die Arbeiten dauerten "maximal drei Stunden"; der von Kessler übersandte Ablaufplan nennt zwei Tage.</w:t>
      </w:r>
    </w:p>
    <w:p>
      <w:pPr>
        <w:pStyle w:val="ListBullet"/>
      </w:pPr>
      <w:r>
        <w:t>Die Albers erinnern sich, dass Kessler im Mai 2025 noch gesagt habe, sein Grundstück sei "breit genug für alles".</w:t>
      </w:r>
    </w:p>
    <w:p>
      <w:pPr>
        <w:pStyle w:val="Heading2"/>
      </w:pPr>
      <w:r>
        <w:rPr>
          <w:rFonts w:ascii="Times New Roman" w:hAnsi="Times New Roman"/>
        </w:rPr>
        <w:t>Beweis- und Taktikfragen</w:t>
      </w:r>
    </w:p>
    <w:p>
      <w:pPr>
        <w:pStyle w:val="ListBullet"/>
      </w:pPr>
      <w:r>
        <w:t>Vor Betreten: Fotos vom aktuellen Garten-, Mauer- und Pflasterzustand.</w:t>
      </w:r>
    </w:p>
    <w:p>
      <w:pPr>
        <w:pStyle w:val="ListBullet"/>
      </w:pPr>
      <w:r>
        <w:t>Bei Gestattung: Uhrzeit, Personen, Gerät, Weg, Schutzmatten, Haftung, Ansprechpartner, Abbruchkriterien.</w:t>
      </w:r>
    </w:p>
    <w:p>
      <w:pPr>
        <w:pStyle w:val="ListBullet"/>
      </w:pPr>
      <w:r>
        <w:t>Bei Verweigerung: begründen, warum Beweissicherung und konkrete technische Angaben fehlen.</w:t>
      </w:r>
    </w:p>
    <w:p>
      <w:pPr>
        <w:pStyle w:val="ListBullet"/>
      </w:pPr>
      <w:r>
        <w:t>Alternative: gemeinsamer Ortstermin mit Vermesserin Krause-Reichel und Sachverständigem Walter.</w:t>
      </w:r>
    </w:p>
    <w:p>
      <w:pPr>
        <w:pStyle w:val="Heading2"/>
      </w:pPr>
      <w:r>
        <w:rPr>
          <w:rFonts w:ascii="Times New Roman" w:hAnsi="Times New Roman"/>
        </w:rPr>
        <w:t>Möglicher Zwischenvorschlag</w:t>
      </w:r>
    </w:p>
    <w:p>
      <w:pPr>
        <w:jc w:val="left"/>
      </w:pPr>
      <w:r>
        <w:t>Die Albers könnten einen reinen Leiterzugang für eine Sichtprüfung dulden, aber den Minibagger und jede Arbeit an Fundament, Rinne oder Grenzmauer bis zur gemeinsamen Dokumentation verweigern. Das ist kein Ergebnis, sondern ein denkbarer Verhandlungsanker.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