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Ortstermin: Konfliktmatrix Rosengartenstraße 17/19</w:t>
      </w:r>
    </w:p>
    <w:p>
      <w:pPr>
        <w:jc w:val="left"/>
      </w:pPr>
      <w:r>
        <w:rPr>
          <w:b/>
        </w:rPr>
        <w:t>Termin:</w:t>
      </w:r>
      <w:r>
        <w:t xml:space="preserve"> 24.10.2025, 15:30 bis 17:05 Uhr</w:t>
      </w:r>
    </w:p>
    <w:p>
      <w:pPr>
        <w:jc w:val="left"/>
      </w:pPr>
      <w:r>
        <w:rPr>
          <w:b/>
        </w:rPr>
        <w:t>Teilnehmende:</w:t>
      </w:r>
      <w:r>
        <w:t xml:space="preserve"> Marianne Albers, Dr. Henning Albers, Stefan Kessler, Lara Kessler, RAin Johanna Welling, Vermesserin Henrike Krause-Reichel, Sachverständiger Dipl.-Ing. Hartmut Walter</w:t>
      </w:r>
    </w:p>
    <w:p>
      <w:pPr>
        <w:jc w:val="left"/>
      </w:pPr>
      <w:r>
        <w:rPr>
          <w:b/>
        </w:rPr>
        <w:t>Wetter:</w:t>
      </w:r>
      <w:r>
        <w:t xml:space="preserve"> trocken, 13 Grad, gute Sicht</w:t>
      </w:r>
    </w:p>
    <w:p>
      <w:pPr>
        <w:jc w:val="left"/>
      </w:pPr>
      <w:r>
        <w:rPr>
          <w:b/>
        </w:rPr>
        <w:t>Ton:</w:t>
      </w:r>
      <w:r>
        <w:t xml:space="preserve"> angespannt, aber nicht abgebrochen</w:t>
      </w:r>
    </w:p>
    <w:p>
      <w:pPr>
        <w:pStyle w:val="Heading2"/>
      </w:pPr>
      <w:r>
        <w:rPr>
          <w:rFonts w:ascii="Times New Roman" w:hAnsi="Times New Roman"/>
        </w:rPr>
        <w:t>Kurzverlauf</w:t>
      </w:r>
    </w:p>
    <w:p>
      <w:pPr>
        <w:jc w:val="left"/>
      </w:pPr>
      <w:r>
        <w:t>15:30 Uhr: Beginn vor Haus Nr. 17. Frau Kessler bleibt zunächst am Zaun stehen und filmt mit dem Handy. RAin Welling bittet darum, nur die Bauteile zu filmen. Frau Kessler sagt, sie filme "zum Selbstschutz".</w:t>
      </w:r>
    </w:p>
    <w:p>
      <w:pPr>
        <w:jc w:val="left"/>
      </w:pPr>
      <w:r>
        <w:t>15:42 Uhr: Grenzbereich Carport. Vermesserin Krause-Reichel erklärt, dass ihre Skizze keine amtliche Grenzverhandlung ersetzt. Herr Kessler hört "also alles unverbindlich"; Herr Albers hört "Überbau nicht ausgeschlossen". Beide schreiben es sich auf.</w:t>
      </w:r>
    </w:p>
    <w:p>
      <w:pPr>
        <w:jc w:val="left"/>
      </w:pPr>
      <w:r>
        <w:t>16:05 Uhr: Grenzmauer. Sachverständiger Walter misst an drei Rissen, aber ohne Bauteilöffnung. Der breiteste sichtbare Riss liegt bei 7,4 mm. Er sagt mündlich, die Veränderung seit August sei "auffällig, aber ohne Ursachenfeststellung nicht eindeutig".</w:t>
      </w:r>
    </w:p>
    <w:p>
      <w:pPr>
        <w:jc w:val="left"/>
      </w:pPr>
      <w:r>
        <w:t>16:22 Uhr: Platane. Becker-Lohnert ist nicht dabei. Herr Kessler sagt, die Platane sei "ein städtisches Thema", weil Wurzeln Richtung Gehweg liefen. Frau Albers legt Fotos von Laub auf Wintergartendach vor. Keine Einigung.</w:t>
      </w:r>
    </w:p>
    <w:p>
      <w:pPr>
        <w:jc w:val="left"/>
      </w:pPr>
      <w:r>
        <w:t>16:43 Uhr: Lichtstrahler/Kamera. Kessler dreht die Kamera mit einem Inbusschlüssel leicht nach innen. Ob das den Erfassungswinkel löst, bleibt unklar. Der Bewegungsmelder wird nicht getestet, weil es zu hell ist.</w:t>
      </w:r>
    </w:p>
    <w:p>
      <w:pPr>
        <w:jc w:val="left"/>
      </w:pPr>
      <w:r>
        <w:t>16:58 Uhr: Poolbaugrube. Kesslers Architekt ruft während des Termins an und verlangt "Entscheidung bis Montag". RAin Welling sagt, ohne schriftlichen Ablaufplan keine Zustimmung zu Bagger oder Materiallagerung.</w:t>
      </w:r>
    </w:p>
    <w:p>
      <w:pPr>
        <w:pStyle w:val="Heading2"/>
      </w:pPr>
      <w:r>
        <w:rPr>
          <w:rFonts w:ascii="Times New Roman" w:hAnsi="Times New Roman"/>
        </w:rPr>
        <w:t>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Cluster</w:t>
            </w:r>
          </w:p>
        </w:tc>
        <w:tc>
          <w:tcPr>
            <w:tcW w:type="dxa" w:w="1814"/>
          </w:tcPr>
          <w:p>
            <w:r>
              <w:rPr>
                <w:rFonts w:ascii="Times New Roman" w:hAnsi="Times New Roman"/>
                <w:b/>
                <w:sz w:val="20"/>
              </w:rPr>
              <w:t>Tatsachenlage</w:t>
            </w:r>
          </w:p>
        </w:tc>
        <w:tc>
          <w:tcPr>
            <w:tcW w:type="dxa" w:w="1814"/>
          </w:tcPr>
          <w:p>
            <w:r>
              <w:rPr>
                <w:rFonts w:ascii="Times New Roman" w:hAnsi="Times New Roman"/>
                <w:b/>
                <w:sz w:val="20"/>
              </w:rPr>
              <w:t>Beweisstand</w:t>
            </w:r>
          </w:p>
        </w:tc>
        <w:tc>
          <w:tcPr>
            <w:tcW w:type="dxa" w:w="1814"/>
          </w:tcPr>
          <w:p>
            <w:r>
              <w:rPr>
                <w:rFonts w:ascii="Times New Roman" w:hAnsi="Times New Roman"/>
                <w:b/>
                <w:sz w:val="20"/>
              </w:rPr>
              <w:t>Eskalation</w:t>
            </w:r>
          </w:p>
        </w:tc>
        <w:tc>
          <w:tcPr>
            <w:tcW w:type="dxa" w:w="1814"/>
          </w:tcPr>
          <w:p>
            <w:r>
              <w:rPr>
                <w:rFonts w:ascii="Times New Roman" w:hAnsi="Times New Roman"/>
                <w:b/>
                <w:sz w:val="20"/>
              </w:rPr>
              <w:t>Offene Entscheidung</w:t>
            </w:r>
          </w:p>
        </w:tc>
      </w:tr>
      <w:tr>
        <w:tc>
          <w:tcPr>
            <w:tcW w:type="dxa" w:w="1814"/>
          </w:tcPr>
          <w:p>
            <w:r>
              <w:rPr>
                <w:rFonts w:ascii="Times New Roman" w:hAnsi="Times New Roman"/>
                <w:sz w:val="20"/>
              </w:rPr>
              <w:t>Carport/Überbau</w:t>
            </w:r>
          </w:p>
        </w:tc>
        <w:tc>
          <w:tcPr>
            <w:tcW w:type="dxa" w:w="1814"/>
          </w:tcPr>
          <w:p>
            <w:r>
              <w:rPr>
                <w:rFonts w:ascii="Times New Roman" w:hAnsi="Times New Roman"/>
                <w:sz w:val="20"/>
              </w:rPr>
              <w:t>Überstand behauptet, Vermessung nur vorläufig</w:t>
            </w:r>
          </w:p>
        </w:tc>
        <w:tc>
          <w:tcPr>
            <w:tcW w:type="dxa" w:w="1814"/>
          </w:tcPr>
          <w:p>
            <w:r>
              <w:rPr>
                <w:rFonts w:ascii="Times New Roman" w:hAnsi="Times New Roman"/>
                <w:sz w:val="20"/>
              </w:rPr>
              <w:t>Skizze, Fotos, Ortstermin</w:t>
            </w:r>
          </w:p>
        </w:tc>
        <w:tc>
          <w:tcPr>
            <w:tcW w:type="dxa" w:w="1814"/>
          </w:tcPr>
          <w:p>
            <w:r>
              <w:rPr>
                <w:rFonts w:ascii="Times New Roman" w:hAnsi="Times New Roman"/>
                <w:sz w:val="20"/>
              </w:rPr>
              <w:t>hoch</w:t>
            </w:r>
          </w:p>
        </w:tc>
        <w:tc>
          <w:tcPr>
            <w:tcW w:type="dxa" w:w="1814"/>
          </w:tcPr>
          <w:p>
            <w:r>
              <w:rPr>
                <w:rFonts w:ascii="Times New Roman" w:hAnsi="Times New Roman"/>
                <w:sz w:val="20"/>
              </w:rPr>
              <w:t>amtliche Vermessung oder Beweissicherung</w:t>
            </w:r>
          </w:p>
        </w:tc>
      </w:tr>
      <w:tr>
        <w:tc>
          <w:tcPr>
            <w:tcW w:type="dxa" w:w="1814"/>
          </w:tcPr>
          <w:p>
            <w:r>
              <w:rPr>
                <w:rFonts w:ascii="Times New Roman" w:hAnsi="Times New Roman"/>
                <w:sz w:val="20"/>
              </w:rPr>
              <w:t>Dachrinne/Wasser</w:t>
            </w:r>
          </w:p>
        </w:tc>
        <w:tc>
          <w:tcPr>
            <w:tcW w:type="dxa" w:w="1814"/>
          </w:tcPr>
          <w:p>
            <w:r>
              <w:rPr>
                <w:rFonts w:ascii="Times New Roman" w:hAnsi="Times New Roman"/>
                <w:sz w:val="20"/>
              </w:rPr>
              <w:t>Schlauch zeitweise Richtung Grenze</w:t>
            </w:r>
          </w:p>
        </w:tc>
        <w:tc>
          <w:tcPr>
            <w:tcW w:type="dxa" w:w="1814"/>
          </w:tcPr>
          <w:p>
            <w:r>
              <w:rPr>
                <w:rFonts w:ascii="Times New Roman" w:hAnsi="Times New Roman"/>
                <w:sz w:val="20"/>
              </w:rPr>
              <w:t>Fotos, Versicherungsfrage</w:t>
            </w:r>
          </w:p>
        </w:tc>
        <w:tc>
          <w:tcPr>
            <w:tcW w:type="dxa" w:w="1814"/>
          </w:tcPr>
          <w:p>
            <w:r>
              <w:rPr>
                <w:rFonts w:ascii="Times New Roman" w:hAnsi="Times New Roman"/>
                <w:sz w:val="20"/>
              </w:rPr>
              <w:t>mittel/hoch</w:t>
            </w:r>
          </w:p>
        </w:tc>
        <w:tc>
          <w:tcPr>
            <w:tcW w:type="dxa" w:w="1814"/>
          </w:tcPr>
          <w:p>
            <w:r>
              <w:rPr>
                <w:rFonts w:ascii="Times New Roman" w:hAnsi="Times New Roman"/>
                <w:sz w:val="20"/>
              </w:rPr>
              <w:t>Ursache Kellerfeuchte klären</w:t>
            </w:r>
          </w:p>
        </w:tc>
      </w:tr>
      <w:tr>
        <w:tc>
          <w:tcPr>
            <w:tcW w:type="dxa" w:w="1814"/>
          </w:tcPr>
          <w:p>
            <w:r>
              <w:rPr>
                <w:rFonts w:ascii="Times New Roman" w:hAnsi="Times New Roman"/>
                <w:sz w:val="20"/>
              </w:rPr>
              <w:t>Grenzmauer</w:t>
            </w:r>
          </w:p>
        </w:tc>
        <w:tc>
          <w:tcPr>
            <w:tcW w:type="dxa" w:w="1814"/>
          </w:tcPr>
          <w:p>
            <w:r>
              <w:rPr>
                <w:rFonts w:ascii="Times New Roman" w:hAnsi="Times New Roman"/>
                <w:sz w:val="20"/>
              </w:rPr>
              <w:t>Risse wachsen nach Mandantenangaben</w:t>
            </w:r>
          </w:p>
        </w:tc>
        <w:tc>
          <w:tcPr>
            <w:tcW w:type="dxa" w:w="1814"/>
          </w:tcPr>
          <w:p>
            <w:r>
              <w:rPr>
                <w:rFonts w:ascii="Times New Roman" w:hAnsi="Times New Roman"/>
                <w:sz w:val="20"/>
              </w:rPr>
              <w:t>Risslineal, SV-Mündlich</w:t>
            </w:r>
          </w:p>
        </w:tc>
        <w:tc>
          <w:tcPr>
            <w:tcW w:type="dxa" w:w="1814"/>
          </w:tcPr>
          <w:p>
            <w:r>
              <w:rPr>
                <w:rFonts w:ascii="Times New Roman" w:hAnsi="Times New Roman"/>
                <w:sz w:val="20"/>
              </w:rPr>
              <w:t>hoch</w:t>
            </w:r>
          </w:p>
        </w:tc>
        <w:tc>
          <w:tcPr>
            <w:tcW w:type="dxa" w:w="1814"/>
          </w:tcPr>
          <w:p>
            <w:r>
              <w:rPr>
                <w:rFonts w:ascii="Times New Roman" w:hAnsi="Times New Roman"/>
                <w:sz w:val="20"/>
              </w:rPr>
              <w:t>selbständiges Beweisverfahren prüfen</w:t>
            </w:r>
          </w:p>
        </w:tc>
      </w:tr>
      <w:tr>
        <w:tc>
          <w:tcPr>
            <w:tcW w:type="dxa" w:w="1814"/>
          </w:tcPr>
          <w:p>
            <w:r>
              <w:rPr>
                <w:rFonts w:ascii="Times New Roman" w:hAnsi="Times New Roman"/>
                <w:sz w:val="20"/>
              </w:rPr>
              <w:t>Platane</w:t>
            </w:r>
          </w:p>
        </w:tc>
        <w:tc>
          <w:tcPr>
            <w:tcW w:type="dxa" w:w="1814"/>
          </w:tcPr>
          <w:p>
            <w:r>
              <w:rPr>
                <w:rFonts w:ascii="Times New Roman" w:hAnsi="Times New Roman"/>
                <w:sz w:val="20"/>
              </w:rPr>
              <w:t>Äste/Wurzeln, Laub, Pflaster</w:t>
            </w:r>
          </w:p>
        </w:tc>
        <w:tc>
          <w:tcPr>
            <w:tcW w:type="dxa" w:w="1814"/>
          </w:tcPr>
          <w:p>
            <w:r>
              <w:rPr>
                <w:rFonts w:ascii="Times New Roman" w:hAnsi="Times New Roman"/>
                <w:sz w:val="20"/>
              </w:rPr>
              <w:t>Baumgutachten, Fotos</w:t>
            </w:r>
          </w:p>
        </w:tc>
        <w:tc>
          <w:tcPr>
            <w:tcW w:type="dxa" w:w="1814"/>
          </w:tcPr>
          <w:p>
            <w:r>
              <w:rPr>
                <w:rFonts w:ascii="Times New Roman" w:hAnsi="Times New Roman"/>
                <w:sz w:val="20"/>
              </w:rPr>
              <w:t>mittel</w:t>
            </w:r>
          </w:p>
        </w:tc>
        <w:tc>
          <w:tcPr>
            <w:tcW w:type="dxa" w:w="1814"/>
          </w:tcPr>
          <w:p>
            <w:r>
              <w:rPr>
                <w:rFonts w:ascii="Times New Roman" w:hAnsi="Times New Roman"/>
                <w:sz w:val="20"/>
              </w:rPr>
              <w:t>Rückschnitt/Schonzeit/Verkehrssicherheit</w:t>
            </w:r>
          </w:p>
        </w:tc>
      </w:tr>
      <w:tr>
        <w:tc>
          <w:tcPr>
            <w:tcW w:type="dxa" w:w="1814"/>
          </w:tcPr>
          <w:p>
            <w:r>
              <w:rPr>
                <w:rFonts w:ascii="Times New Roman" w:hAnsi="Times New Roman"/>
                <w:sz w:val="20"/>
              </w:rPr>
              <w:t>Zaun/Hecke</w:t>
            </w:r>
          </w:p>
        </w:tc>
        <w:tc>
          <w:tcPr>
            <w:tcW w:type="dxa" w:w="1814"/>
          </w:tcPr>
          <w:p>
            <w:r>
              <w:rPr>
                <w:rFonts w:ascii="Times New Roman" w:hAnsi="Times New Roman"/>
                <w:sz w:val="20"/>
              </w:rPr>
              <w:t>Sichtschutz und Thuja</w:t>
            </w:r>
          </w:p>
        </w:tc>
        <w:tc>
          <w:tcPr>
            <w:tcW w:type="dxa" w:w="1814"/>
          </w:tcPr>
          <w:p>
            <w:r>
              <w:rPr>
                <w:rFonts w:ascii="Times New Roman" w:hAnsi="Times New Roman"/>
                <w:sz w:val="20"/>
              </w:rPr>
              <w:t>E-Mails, Fotos</w:t>
            </w:r>
          </w:p>
        </w:tc>
        <w:tc>
          <w:tcPr>
            <w:tcW w:type="dxa" w:w="1814"/>
          </w:tcPr>
          <w:p>
            <w:r>
              <w:rPr>
                <w:rFonts w:ascii="Times New Roman" w:hAnsi="Times New Roman"/>
                <w:sz w:val="20"/>
              </w:rPr>
              <w:t>niedrig/mittel</w:t>
            </w:r>
          </w:p>
        </w:tc>
        <w:tc>
          <w:tcPr>
            <w:tcW w:type="dxa" w:w="1814"/>
          </w:tcPr>
          <w:p>
            <w:r>
              <w:rPr>
                <w:rFonts w:ascii="Times New Roman" w:hAnsi="Times New Roman"/>
                <w:sz w:val="20"/>
              </w:rPr>
              <w:t>Landesnachbarrecht und Vergleich</w:t>
            </w:r>
          </w:p>
        </w:tc>
      </w:tr>
      <w:tr>
        <w:tc>
          <w:tcPr>
            <w:tcW w:type="dxa" w:w="1814"/>
          </w:tcPr>
          <w:p>
            <w:r>
              <w:rPr>
                <w:rFonts w:ascii="Times New Roman" w:hAnsi="Times New Roman"/>
                <w:sz w:val="20"/>
              </w:rPr>
              <w:t>Kamera/Licht</w:t>
            </w:r>
          </w:p>
        </w:tc>
        <w:tc>
          <w:tcPr>
            <w:tcW w:type="dxa" w:w="1814"/>
          </w:tcPr>
          <w:p>
            <w:r>
              <w:rPr>
                <w:rFonts w:ascii="Times New Roman" w:hAnsi="Times New Roman"/>
                <w:sz w:val="20"/>
              </w:rPr>
              <w:t>Ausrichtung streitig</w:t>
            </w:r>
          </w:p>
        </w:tc>
        <w:tc>
          <w:tcPr>
            <w:tcW w:type="dxa" w:w="1814"/>
          </w:tcPr>
          <w:p>
            <w:r>
              <w:rPr>
                <w:rFonts w:ascii="Times New Roman" w:hAnsi="Times New Roman"/>
                <w:sz w:val="20"/>
              </w:rPr>
              <w:t>Fotos, Chat, Ortstermin</w:t>
            </w:r>
          </w:p>
        </w:tc>
        <w:tc>
          <w:tcPr>
            <w:tcW w:type="dxa" w:w="1814"/>
          </w:tcPr>
          <w:p>
            <w:r>
              <w:rPr>
                <w:rFonts w:ascii="Times New Roman" w:hAnsi="Times New Roman"/>
                <w:sz w:val="20"/>
              </w:rPr>
              <w:t>mittel</w:t>
            </w:r>
          </w:p>
        </w:tc>
        <w:tc>
          <w:tcPr>
            <w:tcW w:type="dxa" w:w="1814"/>
          </w:tcPr>
          <w:p>
            <w:r>
              <w:rPr>
                <w:rFonts w:ascii="Times New Roman" w:hAnsi="Times New Roman"/>
                <w:sz w:val="20"/>
              </w:rPr>
              <w:t>technische Daten anfordern</w:t>
            </w:r>
          </w:p>
        </w:tc>
      </w:tr>
      <w:tr>
        <w:tc>
          <w:tcPr>
            <w:tcW w:type="dxa" w:w="1814"/>
          </w:tcPr>
          <w:p>
            <w:r>
              <w:rPr>
                <w:rFonts w:ascii="Times New Roman" w:hAnsi="Times New Roman"/>
                <w:sz w:val="20"/>
              </w:rPr>
              <w:t>Notweg/Handwerker</w:t>
            </w:r>
          </w:p>
        </w:tc>
        <w:tc>
          <w:tcPr>
            <w:tcW w:type="dxa" w:w="1814"/>
          </w:tcPr>
          <w:p>
            <w:r>
              <w:rPr>
                <w:rFonts w:ascii="Times New Roman" w:hAnsi="Times New Roman"/>
                <w:sz w:val="20"/>
              </w:rPr>
              <w:t>Zugang verlangt</w:t>
            </w:r>
          </w:p>
        </w:tc>
        <w:tc>
          <w:tcPr>
            <w:tcW w:type="dxa" w:w="1814"/>
          </w:tcPr>
          <w:p>
            <w:r>
              <w:rPr>
                <w:rFonts w:ascii="Times New Roman" w:hAnsi="Times New Roman"/>
                <w:sz w:val="20"/>
              </w:rPr>
              <w:t>Ablaufplan fehlt</w:t>
            </w:r>
          </w:p>
        </w:tc>
        <w:tc>
          <w:tcPr>
            <w:tcW w:type="dxa" w:w="1814"/>
          </w:tcPr>
          <w:p>
            <w:r>
              <w:rPr>
                <w:rFonts w:ascii="Times New Roman" w:hAnsi="Times New Roman"/>
                <w:sz w:val="20"/>
              </w:rPr>
              <w:t>mittel</w:t>
            </w:r>
          </w:p>
        </w:tc>
        <w:tc>
          <w:tcPr>
            <w:tcW w:type="dxa" w:w="1814"/>
          </w:tcPr>
          <w:p>
            <w:r>
              <w:rPr>
                <w:rFonts w:ascii="Times New Roman" w:hAnsi="Times New Roman"/>
                <w:sz w:val="20"/>
              </w:rPr>
              <w:t>begrenzte Duldung oder Ablehnung</w:t>
            </w:r>
          </w:p>
        </w:tc>
      </w:tr>
    </w:tbl>
    <w:p>
      <w:pPr>
        <w:pStyle w:val="Heading2"/>
      </w:pPr>
      <w:r>
        <w:rPr>
          <w:rFonts w:ascii="Times New Roman" w:hAnsi="Times New Roman"/>
        </w:rPr>
        <w:t>Eindruck der Bearbeiterin</w:t>
      </w:r>
    </w:p>
    <w:p>
      <w:pPr>
        <w:jc w:val="left"/>
      </w:pPr>
      <w:r>
        <w:t>Der Fall wird nicht durch einen einzigen Anspruch entschieden werden. Es handelt sich um eine typische Eskalationsakte, in der fünf kleine Teilprobleme zusammen eine große Verfahrensfrage ergeben: Will man zuerst sichern, vergleichen, klagen oder die nächste Eskalation abwarten? Die Akte ist gerade deshalb schwierig, weil vieles plausibel klingt und trotzdem noch nicht beweisbar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